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79A1" w:rsidRDefault="00D379A1" w14:paraId="7A500030" w14:textId="77777777">
      <w:r>
        <w:t xml:space="preserve">In goede orde ontvingen wij uw raadsbrief met de jaarstukken over het jaar 2023 en de begroting voor 2025. U biedt de raad van de gemeente Culemborg de mogelijkheid om een zienswijze in te dienen op de jaarstukken 2023 en de begroting 2025. Wij hebben kennis genomen van de documenten en deze behandeld in onze gecombineerde commissie-/ raadsvergadering van 13 juni 2024. In deze zienswijze gaan wij zowel in op uw jaarstukken als op uw begroting. </w:t>
      </w:r>
    </w:p>
    <w:p w:rsidR="00BC44E5" w:rsidRDefault="00BC44E5" w14:paraId="6A2436E2" w14:textId="77777777">
      <w:pPr>
        <w:rPr>
          <w:rFonts w:eastAsia="Calibri" w:cs="Times New Roman"/>
          <w:bdr w:val="nil"/>
        </w:rPr>
      </w:pPr>
    </w:p>
    <w:p w:rsidRPr="00D379A1" w:rsidR="00BC44E5" w:rsidRDefault="00D379A1" w14:paraId="0A5A6947" w14:textId="77777777">
      <w:pPr>
        <w:rPr>
          <w:rFonts w:eastAsia="Calibri" w:cs="Times New Roman"/>
          <w:b/>
          <w:bCs/>
          <w:bdr w:val="nil"/>
        </w:rPr>
      </w:pPr>
      <w:r w:rsidRPr="00D379A1">
        <w:rPr>
          <w:b/>
          <w:bCs/>
        </w:rPr>
        <w:t>Dankwoord</w:t>
      </w:r>
    </w:p>
    <w:p w:rsidR="00BC44E5" w:rsidRDefault="00D379A1" w14:paraId="49856EDB" w14:textId="77777777">
      <w:pPr>
        <w:rPr>
          <w:rFonts w:eastAsia="Calibri" w:cs="Times New Roman"/>
          <w:bdr w:val="nil"/>
        </w:rPr>
      </w:pPr>
      <w:r>
        <w:t xml:space="preserve">Allereerst willen wij onze waardering en dankwoord uitspreken over uw inzet van de afgelopen jaren. We hopen op een positieve voortzetting. </w:t>
      </w:r>
    </w:p>
    <w:p w:rsidR="00BC44E5" w:rsidRDefault="00BC44E5" w14:paraId="1EFAABE4" w14:textId="77777777">
      <w:pPr>
        <w:rPr>
          <w:rFonts w:eastAsia="Calibri" w:cs="Times New Roman"/>
          <w:bdr w:val="nil"/>
        </w:rPr>
      </w:pPr>
    </w:p>
    <w:p w:rsidRPr="00D379A1" w:rsidR="00BC44E5" w:rsidRDefault="00D379A1" w14:paraId="11A105A0" w14:textId="77777777">
      <w:pPr>
        <w:rPr>
          <w:rFonts w:eastAsia="Calibri" w:cs="Times New Roman"/>
          <w:b/>
          <w:bCs/>
          <w:bdr w:val="nil"/>
        </w:rPr>
      </w:pPr>
      <w:r w:rsidRPr="00D379A1">
        <w:rPr>
          <w:b/>
          <w:bCs/>
        </w:rPr>
        <w:t>Zienswijze</w:t>
      </w:r>
    </w:p>
    <w:p w:rsidRPr="00D379A1" w:rsidR="00BC44E5" w:rsidRDefault="00D379A1" w14:paraId="69617CA7" w14:textId="77777777">
      <w:pPr>
        <w:rPr>
          <w:rFonts w:eastAsia="Calibri" w:cs="Times New Roman"/>
          <w:u w:val="single"/>
          <w:bdr w:val="nil"/>
        </w:rPr>
      </w:pPr>
      <w:r w:rsidRPr="00D379A1">
        <w:rPr>
          <w:u w:val="single"/>
        </w:rPr>
        <w:t>Jaarstukken 2023</w:t>
      </w:r>
    </w:p>
    <w:p w:rsidR="00BC44E5" w:rsidRDefault="00D379A1" w14:paraId="5BF7EEFA" w14:textId="77777777">
      <w:pPr>
        <w:rPr>
          <w:rFonts w:eastAsia="Calibri" w:cs="Times New Roman"/>
          <w:bdr w:val="nil"/>
        </w:rPr>
      </w:pPr>
      <w:r>
        <w:t xml:space="preserve">Wij hebben kennisgenomen van de conceptjaarrekening 2023 en de door u voorgestelde bestemmingsvoorstellen. </w:t>
      </w:r>
    </w:p>
    <w:p w:rsidR="00BC44E5" w:rsidP="00D415F7" w:rsidRDefault="00D379A1" w14:paraId="5197E4A1" w14:textId="77777777">
      <w:pPr>
        <w:ind w:left="705" w:hanging="705"/>
        <w:rPr>
          <w:rFonts w:eastAsia="Calibri" w:cs="Times New Roman"/>
          <w:bdr w:val="nil"/>
        </w:rPr>
      </w:pPr>
      <w:r>
        <w:t>1.</w:t>
      </w:r>
      <w:r>
        <w:tab/>
      </w:r>
      <w:r>
        <w:t>De bestemmingsvoorstellen voor het onderdeel crisis- en rampenbestrijding van het positieve resultaat van € 2.762.000 zijn, om:</w:t>
      </w:r>
    </w:p>
    <w:p w:rsidR="00BC44E5" w:rsidP="00D415F7" w:rsidRDefault="00D379A1" w14:paraId="4B2ADF56" w14:textId="05AF9544">
      <w:pPr>
        <w:ind w:left="708"/>
        <w:rPr>
          <w:rFonts w:eastAsia="Calibri" w:cs="Times New Roman"/>
          <w:bdr w:val="nil"/>
        </w:rPr>
      </w:pPr>
      <w:r>
        <w:t>a.</w:t>
      </w:r>
      <w:r w:rsidR="00D415F7">
        <w:t xml:space="preserve"> </w:t>
      </w:r>
      <w:r>
        <w:t>€ 207.000 toe te voegen aan de algemene reserve C&amp;R tot 5% van de baten;</w:t>
      </w:r>
    </w:p>
    <w:p w:rsidR="00BC44E5" w:rsidP="00D379A1" w:rsidRDefault="00D379A1" w14:paraId="46C6C0D5" w14:textId="1BC31FC1">
      <w:pPr>
        <w:ind w:left="708"/>
        <w:rPr>
          <w:rFonts w:eastAsia="Calibri" w:cs="Times New Roman"/>
          <w:bdr w:val="nil"/>
        </w:rPr>
      </w:pPr>
      <w:r>
        <w:t>b.</w:t>
      </w:r>
      <w:r w:rsidR="00D415F7">
        <w:t xml:space="preserve"> </w:t>
      </w:r>
      <w:r>
        <w:t>€ 2.555.000 toe te voegen aan de bestemde reserve herziening meerjarenonderhoudsplan.</w:t>
      </w:r>
    </w:p>
    <w:p w:rsidR="00BC44E5" w:rsidP="00D415F7" w:rsidRDefault="00D379A1" w14:paraId="51E07602" w14:textId="77777777">
      <w:pPr>
        <w:ind w:left="705" w:hanging="705"/>
        <w:rPr>
          <w:rFonts w:eastAsia="Calibri" w:cs="Times New Roman"/>
          <w:bdr w:val="nil"/>
        </w:rPr>
      </w:pPr>
      <w:r>
        <w:t>2.</w:t>
      </w:r>
      <w:r>
        <w:tab/>
      </w:r>
      <w:r>
        <w:t xml:space="preserve">Het bestemmingsvoorstel voor het onderdeel RAV is om het positieve resultaat van € 314.000 toe te voegen aan de reserve aanvaardbare kosten. </w:t>
      </w:r>
    </w:p>
    <w:p w:rsidR="00D379A1" w:rsidRDefault="00D379A1" w14:paraId="553A5DD5" w14:textId="77777777"/>
    <w:p w:rsidR="00BC44E5" w:rsidRDefault="00D379A1" w14:paraId="2B1C0145" w14:textId="615000C5">
      <w:pPr>
        <w:rPr>
          <w:rFonts w:eastAsia="Calibri" w:cs="Times New Roman"/>
          <w:bdr w:val="nil"/>
        </w:rPr>
      </w:pPr>
      <w:r>
        <w:t>We kunnen ons vinden in de bestemmingsvoorstellen. We vragen echter aandacht voor het bestemmingsvoorstel ‘herziening meerjarenonderhoudsplan’. We gaan er vanuit dat u op het moment dat het onderzoek naar de kostenverdeelsystematiek en de toekomstverkenning vastgoed is afgerond, u de definitieve middelen die daarvoor nodig zijn, inzichtelijk maakt. Het is daarnaast wel goed dat u anticipeert op wat mogelijk komen gaat.</w:t>
      </w:r>
    </w:p>
    <w:p w:rsidR="00BC44E5" w:rsidRDefault="00BC44E5" w14:paraId="6C698609" w14:textId="77777777">
      <w:pPr>
        <w:rPr>
          <w:rFonts w:eastAsia="Calibri" w:cs="Times New Roman"/>
          <w:bdr w:val="nil"/>
        </w:rPr>
      </w:pPr>
    </w:p>
    <w:p w:rsidR="00D415F7" w:rsidRDefault="00D415F7" w14:paraId="25AFC177" w14:textId="77777777">
      <w:pPr>
        <w:rPr>
          <w:u w:val="single"/>
        </w:rPr>
      </w:pPr>
    </w:p>
    <w:p w:rsidRPr="00D379A1" w:rsidR="00BC44E5" w:rsidRDefault="00D379A1" w14:paraId="2747FC89" w14:textId="27A5FB8B">
      <w:pPr>
        <w:rPr>
          <w:rFonts w:eastAsia="Calibri" w:cs="Times New Roman"/>
          <w:u w:val="single"/>
          <w:bdr w:val="nil"/>
        </w:rPr>
      </w:pPr>
      <w:r w:rsidRPr="00D379A1">
        <w:rPr>
          <w:u w:val="single"/>
        </w:rPr>
        <w:lastRenderedPageBreak/>
        <w:t xml:space="preserve">Begroting 2025 </w:t>
      </w:r>
    </w:p>
    <w:p w:rsidR="00BC44E5" w:rsidRDefault="00D379A1" w14:paraId="0FAFD197" w14:textId="77777777">
      <w:pPr>
        <w:rPr>
          <w:rFonts w:eastAsia="Calibri" w:cs="Times New Roman"/>
          <w:bdr w:val="nil"/>
        </w:rPr>
      </w:pPr>
      <w:r>
        <w:t xml:space="preserve">Wij hebben kennisgenomen van de ontwerpbegroting 2025. De gemeentelijk bijdragen stijgen ten opzichte van de gewijzigde begroting 2024. Een aantal uitzettingen, zoals arbeidsmarktproblematiek en formatie Veilig bouwen zijn noodzakelijk om de primaire dienstverlening te kunnen waarborgen. Echter, kunnen wij ons niet vinden in de uitzetting van de energielasten. Prijsstijgingen moeten binnen de reguliere BRN-norm worden opgevangen. </w:t>
      </w:r>
    </w:p>
    <w:p w:rsidR="00BC44E5" w:rsidRDefault="00BC44E5" w14:paraId="67083BB6" w14:textId="77777777">
      <w:pPr>
        <w:rPr>
          <w:rFonts w:eastAsia="Calibri" w:cs="Times New Roman"/>
          <w:bdr w:val="nil"/>
        </w:rPr>
      </w:pPr>
    </w:p>
    <w:p w:rsidRPr="00D379A1" w:rsidR="00BC44E5" w:rsidRDefault="00D379A1" w14:paraId="41E79540" w14:textId="77777777">
      <w:pPr>
        <w:rPr>
          <w:rFonts w:eastAsia="Calibri" w:cs="Times New Roman"/>
          <w:u w:val="single"/>
          <w:bdr w:val="nil"/>
        </w:rPr>
      </w:pPr>
      <w:r w:rsidRPr="00D379A1">
        <w:rPr>
          <w:u w:val="single"/>
        </w:rPr>
        <w:t>Meerjarenraming 2026-2028</w:t>
      </w:r>
    </w:p>
    <w:p w:rsidR="00BC44E5" w:rsidRDefault="00D379A1" w14:paraId="6C5593CF" w14:textId="77777777">
      <w:pPr>
        <w:rPr>
          <w:rFonts w:eastAsia="Calibri" w:cs="Times New Roman"/>
          <w:bdr w:val="nil"/>
        </w:rPr>
      </w:pPr>
      <w:r>
        <w:t>Wij nemen de meerjarenraming 2026-2028 ter kennisgeving aan.</w:t>
      </w:r>
    </w:p>
    <w:p w:rsidR="00BC44E5" w:rsidRDefault="00BC44E5" w14:paraId="2A146B0E" w14:textId="77777777">
      <w:pPr>
        <w:rPr>
          <w:rFonts w:eastAsia="Calibri" w:cs="Times New Roman"/>
          <w:bdr w:val="nil"/>
        </w:rPr>
      </w:pPr>
    </w:p>
    <w:p w:rsidRPr="00D379A1" w:rsidR="00BC44E5" w:rsidRDefault="00D379A1" w14:paraId="7D1197D9" w14:textId="77777777">
      <w:pPr>
        <w:rPr>
          <w:rFonts w:eastAsia="Calibri" w:cs="Times New Roman"/>
          <w:b/>
          <w:bCs/>
          <w:bdr w:val="nil"/>
        </w:rPr>
      </w:pPr>
      <w:r w:rsidRPr="00D379A1">
        <w:rPr>
          <w:b/>
          <w:bCs/>
        </w:rPr>
        <w:t>Overige aandachtspunten</w:t>
      </w:r>
    </w:p>
    <w:p w:rsidR="00BC44E5" w:rsidRDefault="00D379A1" w14:paraId="26FB6B5A" w14:textId="77777777">
      <w:pPr>
        <w:rPr>
          <w:rFonts w:eastAsia="Calibri" w:cs="Times New Roman"/>
          <w:bdr w:val="nil"/>
        </w:rPr>
      </w:pPr>
      <w:r>
        <w:t xml:space="preserve">De zienswijzeprocedure rondom de jaarstukken en begroting is een moment waarop de gemeenteraad van Culemborg in het bijzonder kijkt naar de werkzaamheden van uw gemeenschappelijke regeling. Wij grijpen dit moment dan ook graag aan om het volgende aandachtspunt van onze raad bij uw werkzaamheden aan u mee te geven. </w:t>
      </w:r>
    </w:p>
    <w:p w:rsidR="00BC44E5" w:rsidRDefault="00BC44E5" w14:paraId="16521791" w14:textId="77777777">
      <w:pPr>
        <w:rPr>
          <w:rFonts w:eastAsia="Calibri" w:cs="Times New Roman"/>
          <w:bdr w:val="nil"/>
        </w:rPr>
      </w:pPr>
    </w:p>
    <w:p w:rsidRPr="00D379A1" w:rsidR="00BC44E5" w:rsidP="6D16CD57" w:rsidRDefault="00D379A1" w14:paraId="665ECE2B" w14:textId="2FAFF23B">
      <w:pPr>
        <w:rPr>
          <w:b w:val="1"/>
          <w:bCs w:val="1"/>
        </w:rPr>
      </w:pPr>
      <w:r w:rsidRPr="6D16CD57" w:rsidR="6D16CD57">
        <w:rPr>
          <w:b w:val="1"/>
          <w:bCs w:val="1"/>
        </w:rPr>
        <w:t>Financiële p</w:t>
      </w:r>
      <w:r w:rsidRPr="6D16CD57" w:rsidR="6D16CD57">
        <w:rPr>
          <w:b w:val="1"/>
          <w:bCs w:val="1"/>
        </w:rPr>
        <w:t>roblematiek</w:t>
      </w:r>
    </w:p>
    <w:p w:rsidR="00BC44E5" w:rsidRDefault="00D379A1" w14:paraId="5E18462C" w14:textId="77777777">
      <w:pPr>
        <w:rPr>
          <w:rFonts w:eastAsia="Calibri" w:cs="Times New Roman"/>
          <w:bdr w:val="nil"/>
        </w:rPr>
      </w:pPr>
      <w:r>
        <w:t xml:space="preserve">Er is financieel zwaar weer op komst voor gemeenten en dus ook voor de gemeente Culemborg. Vanwege kortingen op inkomsten zoals het gemeentefonds, vanwege prijsstijgingen en vanwege steeds meer en grotere opgaven wordt het sluitend krijgen van de gemeentebegroting een steeds grotere uitdaging. Dit speelt vanaf het komende jaar. Onze Culemborgse verbonden partijen zijn verlengd lokaal bestuur en we werken vanuit verbinding met u samen. Daarom kondigen we deze ontwikkeling aan. En doen we een beroep op u om mee te denken en mee te doen. We roepen u op om waar mogelijk kosten te besparen. Ook vragen we u om kritisch te zijn op nieuw beleid door het nut en de noodzaak hiervan goed tegen het licht te houden. Denk hierbij aan innovatie van de brandweer. In het geval van nieuw beleid dat onontkoombaar is vragen wij u dekking te zoeken binnen de eigen begroting waarbij de afspraken over loon-/prijsindexatie worden gerespecteerd. </w:t>
      </w:r>
    </w:p>
    <w:p w:rsidR="00BC44E5" w:rsidRDefault="00BC44E5" w14:paraId="6448FE2B" w14:textId="77777777">
      <w:pPr>
        <w:rPr>
          <w:rFonts w:eastAsia="Calibri" w:cs="Times New Roman"/>
          <w:bdr w:val="nil"/>
        </w:rPr>
      </w:pPr>
    </w:p>
    <w:p w:rsidRPr="00D379A1" w:rsidR="00BC44E5" w:rsidRDefault="00D379A1" w14:paraId="5F4B9EF2" w14:textId="77777777">
      <w:pPr>
        <w:rPr>
          <w:rFonts w:eastAsia="Calibri" w:cs="Times New Roman"/>
          <w:b/>
          <w:bCs/>
          <w:bdr w:val="nil"/>
        </w:rPr>
      </w:pPr>
      <w:r w:rsidRPr="00D379A1">
        <w:rPr>
          <w:b/>
          <w:bCs/>
        </w:rPr>
        <w:t>Het vervolg</w:t>
      </w:r>
    </w:p>
    <w:p w:rsidR="00BC44E5" w:rsidRDefault="00D379A1" w14:paraId="7766D852" w14:textId="6D076D37">
      <w:pPr>
        <w:rPr>
          <w:rFonts w:eastAsia="Calibri" w:cs="Times New Roman"/>
          <w:bdr w:val="nil"/>
        </w:rPr>
      </w:pPr>
      <w:r>
        <w:t xml:space="preserve">Wij verzoeken u onze zienswijze bij de verdere uitvoering en besluitvorming te betrekken. Heeft u vragen over deze brief? Neem dan contact op met </w:t>
      </w:r>
      <w:hyperlink w:history="1" r:id="rId6">
        <w:r w:rsidRPr="00E10BC9">
          <w:rPr>
            <w:rStyle w:val="Hyperlink"/>
          </w:rPr>
          <w:t>m.butselaar@culemborg.nl</w:t>
        </w:r>
      </w:hyperlink>
      <w:r>
        <w:t>.</w:t>
      </w:r>
    </w:p>
    <w:p w:rsidR="00BC44E5" w:rsidRDefault="00BC44E5" w14:paraId="3F85BC4C" w14:textId="77777777">
      <w:pPr>
        <w:rPr>
          <w:rFonts w:eastAsia="Calibri" w:cs="Times New Roman"/>
          <w:bdr w:val="nil"/>
        </w:rPr>
      </w:pPr>
    </w:p>
    <w:p w:rsidRPr="00D379A1" w:rsidR="00BC44E5" w:rsidRDefault="00D379A1" w14:paraId="089588DA" w14:textId="77777777">
      <w:pPr>
        <w:rPr>
          <w:rFonts w:eastAsia="Calibri" w:cs="Times New Roman"/>
          <w:b/>
          <w:bCs/>
          <w:bdr w:val="nil"/>
        </w:rPr>
      </w:pPr>
      <w:r w:rsidRPr="00D379A1">
        <w:rPr>
          <w:b/>
          <w:bCs/>
        </w:rPr>
        <w:t>Slot</w:t>
      </w:r>
    </w:p>
    <w:p w:rsidR="00BC44E5" w:rsidRDefault="00D379A1" w14:paraId="6BAFD37B" w14:textId="77777777">
      <w:pPr>
        <w:rPr>
          <w:rFonts w:eastAsia="Calibri" w:cs="Times New Roman"/>
          <w:bdr w:val="nil"/>
        </w:rPr>
      </w:pPr>
      <w:r>
        <w:t xml:space="preserve">Wij vernemen graag uw reactie op de punten uit deze zienswijze. Rest ons nog u veel succes te wensen met de uitvoering van uw werkzaamheden die voortkomen uit uw begroting.  Wij vertrouwen erop u hiermee voldoende geïnformeerd te hebben. </w:t>
      </w:r>
    </w:p>
    <w:p w:rsidR="00BC44E5" w:rsidRDefault="00BC44E5" w14:paraId="5351100A" w14:textId="77777777">
      <w:pPr>
        <w:rPr>
          <w:rFonts w:eastAsia="Calibri" w:cs="Times New Roman"/>
          <w:bdr w:val="nil"/>
        </w:rPr>
      </w:pPr>
    </w:p>
    <w:p w:rsidR="00D379A1" w:rsidRDefault="00D379A1" w14:paraId="67E1414C" w14:textId="77777777">
      <w:r w:rsidRPr="00340CCA">
        <w:rPr>
          <w:rFonts w:eastAsia="Times New Roman" w:cs="Times New Roman"/>
          <w:color w:val="000000"/>
          <w:lang w:eastAsia="nl-NL"/>
        </w:rP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689"/>
        <w:gridCol w:w="2693"/>
      </w:tblGrid>
      <w:tr w:rsidR="00BC44E5" w:rsidTr="0F99BAAE" w14:paraId="3CC65949" w14:textId="77777777">
        <w:tc>
          <w:tcPr>
            <w:tcW w:w="2689" w:type="dxa"/>
            <w:tcMar/>
          </w:tcPr>
          <w:p w:rsidR="008869F7" w:rsidP="00340CCA" w:rsidRDefault="008869F7" w14:paraId="3A036239" w14:textId="77777777">
            <w:pPr>
              <w:rPr>
                <w:rFonts w:eastAsia="Times New Roman" w:cs="Times New Roman"/>
                <w:color w:val="000000"/>
                <w:lang w:eastAsia="nl-NL"/>
              </w:rPr>
            </w:pPr>
          </w:p>
          <w:p w:rsidR="00D379A1" w:rsidP="00340CCA" w:rsidRDefault="00D379A1" w14:paraId="4792EF81" w14:textId="5BE34CBA">
            <w:pPr>
              <w:rPr>
                <w:rFonts w:eastAsia="Times New Roman" w:cs="Times New Roman"/>
                <w:color w:val="000000"/>
                <w:lang w:eastAsia="nl-NL"/>
              </w:rPr>
            </w:pPr>
            <w:r>
              <w:rPr>
                <w:rFonts w:eastAsia="Times New Roman" w:cs="Times New Roman"/>
                <w:color w:val="000000"/>
                <w:lang w:eastAsia="nl-NL"/>
              </w:rPr>
              <w:t>De griffier,</w:t>
            </w:r>
          </w:p>
          <w:p w:rsidR="00D379A1" w:rsidP="00340CCA" w:rsidRDefault="00D379A1" w14:paraId="6AFAFB1B" w14:textId="77777777">
            <w:pPr>
              <w:rPr>
                <w:rFonts w:eastAsia="Times New Roman" w:cs="Times New Roman"/>
                <w:color w:val="000000"/>
                <w:lang w:eastAsia="nl-NL"/>
              </w:rPr>
            </w:pPr>
          </w:p>
          <w:p w:rsidR="00D379A1" w:rsidP="00340CCA" w:rsidRDefault="00D379A1" w14:paraId="39803372" w14:textId="77777777">
            <w:pPr>
              <w:rPr>
                <w:rFonts w:eastAsia="Times New Roman" w:cs="Times New Roman"/>
                <w:color w:val="000000"/>
                <w:lang w:eastAsia="nl-NL"/>
              </w:rPr>
            </w:pPr>
          </w:p>
        </w:tc>
        <w:tc>
          <w:tcPr>
            <w:tcW w:w="2693" w:type="dxa"/>
            <w:tcMar/>
          </w:tcPr>
          <w:p w:rsidR="008869F7" w:rsidP="00340CCA" w:rsidRDefault="008869F7" w14:paraId="47E0DC9E" w14:textId="77777777">
            <w:pPr>
              <w:rPr>
                <w:rFonts w:eastAsia="Times New Roman" w:cs="Times New Roman"/>
                <w:color w:val="000000"/>
                <w:lang w:eastAsia="nl-NL"/>
              </w:rPr>
            </w:pPr>
          </w:p>
          <w:p w:rsidR="00D379A1" w:rsidP="00340CCA" w:rsidRDefault="00D379A1" w14:paraId="064260FA" w14:textId="2EDBF8B4">
            <w:pPr>
              <w:rPr>
                <w:rFonts w:eastAsia="Times New Roman" w:cs="Times New Roman"/>
                <w:color w:val="000000"/>
                <w:lang w:eastAsia="nl-NL"/>
              </w:rPr>
            </w:pPr>
            <w:r w:rsidRPr="00340CCA">
              <w:rPr>
                <w:rFonts w:eastAsia="Times New Roman" w:cs="Times New Roman"/>
                <w:color w:val="000000"/>
                <w:lang w:eastAsia="nl-NL"/>
              </w:rPr>
              <w:t>De voorzitter</w:t>
            </w:r>
            <w:r>
              <w:rPr>
                <w:rFonts w:eastAsia="Times New Roman" w:cs="Times New Roman"/>
                <w:color w:val="000000"/>
                <w:lang w:eastAsia="nl-NL"/>
              </w:rPr>
              <w:t>,</w:t>
            </w:r>
          </w:p>
          <w:p w:rsidR="00D379A1" w:rsidP="00340CCA" w:rsidRDefault="00D379A1" w14:paraId="3B8F1204" w14:textId="77777777">
            <w:pPr>
              <w:rPr>
                <w:rFonts w:eastAsia="Times New Roman" w:cs="Times New Roman"/>
                <w:color w:val="000000"/>
                <w:lang w:eastAsia="nl-NL"/>
              </w:rPr>
            </w:pPr>
          </w:p>
          <w:p w:rsidRPr="00340CCA" w:rsidR="00D379A1" w:rsidP="00340CCA" w:rsidRDefault="00D379A1" w14:paraId="7AB2E9F5" w14:textId="77777777">
            <w:pPr>
              <w:rPr>
                <w:rFonts w:ascii="Times New Roman" w:hAnsi="Times New Roman" w:eastAsia="Times New Roman" w:cs="Times New Roman"/>
                <w:sz w:val="24"/>
                <w:szCs w:val="24"/>
                <w:lang w:eastAsia="nl-NL"/>
              </w:rPr>
            </w:pPr>
          </w:p>
        </w:tc>
      </w:tr>
      <w:tr w:rsidR="00BC44E5" w:rsidTr="0F99BAAE" w14:paraId="34C6C0C1" w14:textId="77777777">
        <w:tc>
          <w:tcPr>
            <w:tcW w:w="2689" w:type="dxa"/>
            <w:tcMar/>
          </w:tcPr>
          <w:p w:rsidR="00D379A1" w:rsidP="00340CCA" w:rsidRDefault="00D379A1" w14:paraId="205C13F9" w14:textId="77777777">
            <w:pPr>
              <w:rPr>
                <w:rFonts w:eastAsia="Times New Roman" w:cs="Times New Roman"/>
                <w:color w:val="000000"/>
                <w:lang w:eastAsia="nl-NL"/>
              </w:rPr>
            </w:pPr>
            <w:r>
              <w:t>D. van der Harst</w:t>
            </w:r>
          </w:p>
          <w:p w:rsidR="00D379A1" w:rsidP="00340CCA" w:rsidRDefault="00D379A1" w14:paraId="792538B9" w14:textId="77777777">
            <w:pPr>
              <w:rPr>
                <w:rFonts w:eastAsia="Times New Roman" w:cs="Times New Roman"/>
                <w:color w:val="000000"/>
                <w:lang w:eastAsia="nl-NL"/>
              </w:rPr>
            </w:pPr>
          </w:p>
        </w:tc>
        <w:tc>
          <w:tcPr>
            <w:tcW w:w="2693" w:type="dxa"/>
            <w:tcMar/>
          </w:tcPr>
          <w:p w:rsidR="00D379A1" w:rsidP="0F99BAAE" w:rsidRDefault="00D379A1" w14:paraId="297CD366" w14:textId="25664309">
            <w:pPr>
              <w:rPr>
                <w:rFonts w:eastAsia="Times New Roman" w:cs="Times New Roman"/>
                <w:color w:val="000000" w:themeColor="text1" w:themeTint="FF" w:themeShade="FF"/>
                <w:lang w:eastAsia="nl-NL"/>
              </w:rPr>
            </w:pPr>
            <w:r w:rsidR="0F99BAAE">
              <w:rPr/>
              <w:t xml:space="preserve">G. van </w:t>
            </w:r>
            <w:proofErr w:type="spellStart"/>
            <w:r w:rsidR="0F99BAAE">
              <w:rPr/>
              <w:t>Grootheest</w:t>
            </w:r>
            <w:proofErr w:type="spellEnd"/>
          </w:p>
        </w:tc>
      </w:tr>
    </w:tbl>
    <w:p w:rsidR="00D379A1" w:rsidRDefault="00D379A1" w14:paraId="47DD77A4" w14:textId="77777777"/>
    <w:sectPr w:rsidR="00D379A1" w:rsidSect="00D63479">
      <w:headerReference w:type="first" r:id="rId7"/>
      <w:pgSz w:w="11906" w:h="16838" w:orient="portrait" w:code="9"/>
      <w:pgMar w:top="3062" w:right="1077" w:bottom="851" w:left="3062" w:header="709" w:footer="709" w:gutter="0"/>
      <w:paperSrc w:first="1"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79A1" w:rsidRDefault="00D379A1" w14:paraId="0F5C3CC5" w14:textId="77777777">
      <w:r>
        <w:separator/>
      </w:r>
    </w:p>
  </w:endnote>
  <w:endnote w:type="continuationSeparator" w:id="0">
    <w:p w:rsidR="00D379A1" w:rsidRDefault="00D379A1" w14:paraId="28C072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amp;W Syntax (Adobe)">
    <w:altName w:val="Arial"/>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79A1" w:rsidRDefault="00D379A1" w14:paraId="1643AC04" w14:textId="77777777">
      <w:r>
        <w:separator/>
      </w:r>
    </w:p>
  </w:footnote>
  <w:footnote w:type="continuationSeparator" w:id="0">
    <w:p w:rsidR="00D379A1" w:rsidRDefault="00D379A1" w14:paraId="3053A2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3" w:type="dxa"/>
      <w:tblInd w:w="-1639" w:type="dxa"/>
      <w:tblLayout w:type="fixed"/>
      <w:tblCellMar>
        <w:left w:w="0" w:type="dxa"/>
        <w:right w:w="0" w:type="dxa"/>
      </w:tblCellMar>
      <w:tblLook w:val="0000" w:firstRow="0" w:lastRow="0" w:firstColumn="0" w:lastColumn="0" w:noHBand="0" w:noVBand="0"/>
    </w:tblPr>
    <w:tblGrid>
      <w:gridCol w:w="1485"/>
      <w:gridCol w:w="154"/>
      <w:gridCol w:w="3544"/>
      <w:gridCol w:w="1768"/>
      <w:gridCol w:w="217"/>
      <w:gridCol w:w="2255"/>
    </w:tblGrid>
    <w:tr w:rsidR="00BC44E5" w:rsidTr="00E72440" w14:paraId="1AE03155" w14:textId="77777777">
      <w:trPr>
        <w:trHeight w:val="2410"/>
      </w:trPr>
      <w:tc>
        <w:tcPr>
          <w:tcW w:w="9423" w:type="dxa"/>
          <w:gridSpan w:val="6"/>
        </w:tcPr>
        <w:p w:rsidRPr="00DD2F33" w:rsidR="00D379A1" w:rsidP="00DD2F33" w:rsidRDefault="00D379A1" w14:paraId="6475EBB3" w14:textId="77777777">
          <w:pPr>
            <w:autoSpaceDE w:val="0"/>
            <w:autoSpaceDN w:val="0"/>
            <w:rPr>
              <w:rFonts w:eastAsia="Times New Roman" w:cs="Palatino Linotype"/>
              <w:lang w:eastAsia="nl-NL"/>
            </w:rPr>
          </w:pPr>
        </w:p>
      </w:tc>
    </w:tr>
    <w:tr w:rsidR="00BC44E5" w:rsidTr="00E72440" w14:paraId="34E54DC8" w14:textId="77777777">
      <w:trPr>
        <w:trHeight w:val="816"/>
      </w:trPr>
      <w:tc>
        <w:tcPr>
          <w:tcW w:w="1485" w:type="dxa"/>
        </w:tcPr>
        <w:p w:rsidRPr="00846C10" w:rsidR="00D379A1" w:rsidP="00DD2F33" w:rsidRDefault="00D379A1" w14:paraId="25D154A9" w14:textId="77777777">
          <w:pPr>
            <w:autoSpaceDE w:val="0"/>
            <w:autoSpaceDN w:val="0"/>
            <w:spacing w:line="120" w:lineRule="exact"/>
            <w:rPr>
              <w:rFonts w:eastAsia="Times New Roman" w:asciiTheme="minorHAnsi" w:hAnsiTheme="minorHAnsi" w:cstheme="minorHAnsi"/>
              <w:sz w:val="12"/>
              <w:szCs w:val="12"/>
              <w:lang w:eastAsia="nl-NL"/>
            </w:rPr>
          </w:pPr>
        </w:p>
      </w:tc>
      <w:tc>
        <w:tcPr>
          <w:tcW w:w="154" w:type="dxa"/>
        </w:tcPr>
        <w:p w:rsidRPr="00DD2F33" w:rsidR="00D379A1" w:rsidP="00DD2F33" w:rsidRDefault="00D379A1" w14:paraId="6AA99582" w14:textId="77777777">
          <w:pPr>
            <w:autoSpaceDE w:val="0"/>
            <w:autoSpaceDN w:val="0"/>
            <w:rPr>
              <w:rFonts w:eastAsia="Times New Roman" w:cs="Palatino Linotype"/>
              <w:lang w:eastAsia="nl-NL"/>
            </w:rPr>
          </w:pPr>
        </w:p>
      </w:tc>
      <w:tc>
        <w:tcPr>
          <w:tcW w:w="3544" w:type="dxa"/>
        </w:tcPr>
        <w:p w:rsidRPr="00DD2F33" w:rsidR="00D379A1" w:rsidP="003D6D31" w:rsidRDefault="00D379A1" w14:paraId="06D98C53" w14:textId="77777777">
          <w:pPr>
            <w:autoSpaceDE w:val="0"/>
            <w:autoSpaceDN w:val="0"/>
            <w:rPr>
              <w:rFonts w:eastAsia="Times New Roman" w:cs="Palatino Linotype"/>
              <w:lang w:eastAsia="nl-NL"/>
            </w:rPr>
          </w:pPr>
          <w:r>
            <w:rPr>
              <w:rFonts w:eastAsia="Times New Roman" w:cs="Palatino Linotype"/>
              <w:lang w:eastAsia="nl-NL"/>
            </w:rPr>
            <w:t>Veiligheidsregio Gelderland-Zuid</w:t>
          </w:r>
        </w:p>
        <w:p w:rsidR="00D379A1" w:rsidRDefault="00D379A1" w14:paraId="62E8F570" w14:textId="5F3150BE">
          <w:r>
            <w:rPr>
              <w:rFonts w:eastAsia="Times New Roman" w:cs="Palatino Linotype"/>
              <w:lang w:eastAsia="nl-NL"/>
            </w:rPr>
            <w:t>t.a.v. het Dagelijks Bestuur</w:t>
          </w:r>
        </w:p>
        <w:p w:rsidR="00D379A1" w:rsidRDefault="00D379A1" w14:paraId="1E1CA6C0" w14:textId="77777777">
          <w:r>
            <w:rPr>
              <w:rFonts w:eastAsia="Times New Roman" w:cs="Palatino Linotype"/>
              <w:lang w:eastAsia="nl-NL"/>
            </w:rPr>
            <w:t xml:space="preserve">Postbus 1120 </w:t>
          </w:r>
        </w:p>
        <w:p w:rsidR="00D379A1" w:rsidRDefault="00D379A1" w14:paraId="4C35DE27" w14:textId="77777777">
          <w:r>
            <w:rPr>
              <w:rFonts w:eastAsia="Times New Roman" w:cs="Palatino Linotype"/>
              <w:lang w:eastAsia="nl-NL"/>
            </w:rPr>
            <w:t xml:space="preserve">6501 BC NIJMEGEN </w:t>
          </w:r>
          <w:r w:rsidRPr="00DD2F33">
            <w:rPr>
              <w:rFonts w:eastAsia="Times New Roman" w:cs="Palatino Linotype"/>
              <w:lang w:eastAsia="nl-NL"/>
            </w:rPr>
            <w:t xml:space="preserve"> </w:t>
          </w:r>
        </w:p>
      </w:tc>
      <w:tc>
        <w:tcPr>
          <w:tcW w:w="1768" w:type="dxa"/>
        </w:tcPr>
        <w:p w:rsidRPr="00DD2F33" w:rsidR="00D379A1" w:rsidP="00DD2F33" w:rsidRDefault="00D379A1" w14:paraId="4998662B" w14:textId="77777777">
          <w:pPr>
            <w:autoSpaceDE w:val="0"/>
            <w:autoSpaceDN w:val="0"/>
            <w:spacing w:line="120" w:lineRule="exact"/>
            <w:rPr>
              <w:rFonts w:ascii="V&amp;W Syntax (Adobe)" w:hAnsi="V&amp;W Syntax (Adobe)" w:eastAsia="Times New Roman" w:cs="V&amp;W Syntax (Adobe)"/>
              <w:sz w:val="12"/>
              <w:szCs w:val="12"/>
              <w:lang w:eastAsia="nl-NL"/>
            </w:rPr>
          </w:pPr>
        </w:p>
      </w:tc>
      <w:tc>
        <w:tcPr>
          <w:tcW w:w="2472" w:type="dxa"/>
          <w:gridSpan w:val="2"/>
        </w:tcPr>
        <w:p w:rsidRPr="00DD2F33" w:rsidR="00D379A1" w:rsidP="00DD2F33" w:rsidRDefault="00D379A1" w14:paraId="76945DF4" w14:textId="77777777">
          <w:pPr>
            <w:autoSpaceDE w:val="0"/>
            <w:autoSpaceDN w:val="0"/>
            <w:rPr>
              <w:rFonts w:eastAsia="Times New Roman" w:cs="Palatino Linotype"/>
              <w:lang w:eastAsia="nl-NL"/>
            </w:rPr>
          </w:pPr>
        </w:p>
      </w:tc>
    </w:tr>
    <w:tr w:rsidR="00BC44E5" w:rsidTr="00E72440" w14:paraId="316C5CC7" w14:textId="77777777">
      <w:tc>
        <w:tcPr>
          <w:tcW w:w="1485" w:type="dxa"/>
        </w:tcPr>
        <w:p w:rsidRPr="00846C10" w:rsidR="00D379A1" w:rsidP="00DD2F33" w:rsidRDefault="00D379A1" w14:paraId="5BE5BA1C" w14:textId="77777777">
          <w:pPr>
            <w:autoSpaceDE w:val="0"/>
            <w:autoSpaceDN w:val="0"/>
            <w:spacing w:line="120" w:lineRule="exact"/>
            <w:rPr>
              <w:rFonts w:eastAsia="Times New Roman" w:asciiTheme="minorHAnsi" w:hAnsiTheme="minorHAnsi" w:cstheme="minorHAnsi"/>
              <w:sz w:val="20"/>
              <w:szCs w:val="20"/>
              <w:lang w:eastAsia="nl-NL"/>
            </w:rPr>
          </w:pPr>
        </w:p>
      </w:tc>
      <w:tc>
        <w:tcPr>
          <w:tcW w:w="3698" w:type="dxa"/>
          <w:gridSpan w:val="2"/>
        </w:tcPr>
        <w:p w:rsidRPr="00846C10" w:rsidR="00D379A1" w:rsidP="00DD2F33" w:rsidRDefault="00D379A1" w14:paraId="1721B6D1" w14:textId="77777777">
          <w:pPr>
            <w:autoSpaceDE w:val="0"/>
            <w:autoSpaceDN w:val="0"/>
            <w:rPr>
              <w:rFonts w:eastAsia="Times New Roman" w:asciiTheme="majorHAnsi" w:hAnsiTheme="majorHAnsi" w:cstheme="majorHAnsi"/>
              <w:lang w:eastAsia="nl-NL"/>
            </w:rPr>
          </w:pPr>
        </w:p>
      </w:tc>
      <w:tc>
        <w:tcPr>
          <w:tcW w:w="1768" w:type="dxa"/>
        </w:tcPr>
        <w:p w:rsidRPr="00846C10" w:rsidR="00D379A1" w:rsidP="00DD2F33" w:rsidRDefault="00D379A1" w14:paraId="036F1FF5" w14:textId="77777777">
          <w:pPr>
            <w:autoSpaceDE w:val="0"/>
            <w:autoSpaceDN w:val="0"/>
            <w:spacing w:line="120" w:lineRule="exact"/>
            <w:rPr>
              <w:rFonts w:eastAsia="Times New Roman" w:asciiTheme="majorHAnsi" w:hAnsiTheme="majorHAnsi" w:cstheme="majorHAnsi"/>
              <w:sz w:val="12"/>
              <w:szCs w:val="12"/>
              <w:lang w:eastAsia="nl-NL"/>
            </w:rPr>
          </w:pPr>
        </w:p>
      </w:tc>
      <w:tc>
        <w:tcPr>
          <w:tcW w:w="2472" w:type="dxa"/>
          <w:gridSpan w:val="2"/>
        </w:tcPr>
        <w:p w:rsidRPr="00846C10" w:rsidR="00D379A1" w:rsidP="00DD2F33" w:rsidRDefault="00D379A1" w14:paraId="5929BE0A" w14:textId="77777777">
          <w:pPr>
            <w:autoSpaceDE w:val="0"/>
            <w:autoSpaceDN w:val="0"/>
            <w:rPr>
              <w:rFonts w:eastAsia="Times New Roman" w:asciiTheme="majorHAnsi" w:hAnsiTheme="majorHAnsi" w:cstheme="majorHAnsi"/>
              <w:lang w:eastAsia="nl-NL"/>
            </w:rPr>
          </w:pPr>
        </w:p>
      </w:tc>
    </w:tr>
    <w:tr w:rsidR="00BC44E5" w:rsidTr="00E72440" w14:paraId="23A9CB65" w14:textId="77777777">
      <w:tc>
        <w:tcPr>
          <w:tcW w:w="1485" w:type="dxa"/>
        </w:tcPr>
        <w:p w:rsidRPr="00846C10" w:rsidR="00D379A1" w:rsidP="00DD2F33" w:rsidRDefault="00D379A1" w14:paraId="252FFB49" w14:textId="77777777">
          <w:pPr>
            <w:autoSpaceDE w:val="0"/>
            <w:autoSpaceDN w:val="0"/>
            <w:spacing w:line="120" w:lineRule="exact"/>
            <w:rPr>
              <w:rFonts w:eastAsia="Times New Roman" w:asciiTheme="minorHAnsi" w:hAnsiTheme="minorHAnsi" w:cstheme="minorHAnsi"/>
              <w:sz w:val="20"/>
              <w:szCs w:val="20"/>
              <w:lang w:eastAsia="nl-NL"/>
            </w:rPr>
          </w:pPr>
        </w:p>
      </w:tc>
      <w:tc>
        <w:tcPr>
          <w:tcW w:w="3698" w:type="dxa"/>
          <w:gridSpan w:val="2"/>
        </w:tcPr>
        <w:p w:rsidRPr="00846C10" w:rsidR="00D379A1" w:rsidP="00DD2F33" w:rsidRDefault="00D379A1" w14:paraId="3CC7F3D0" w14:textId="77777777">
          <w:pPr>
            <w:autoSpaceDE w:val="0"/>
            <w:autoSpaceDN w:val="0"/>
            <w:rPr>
              <w:rFonts w:eastAsia="Times New Roman" w:asciiTheme="majorHAnsi" w:hAnsiTheme="majorHAnsi" w:cstheme="majorHAnsi"/>
              <w:lang w:eastAsia="nl-NL"/>
            </w:rPr>
          </w:pPr>
        </w:p>
      </w:tc>
      <w:tc>
        <w:tcPr>
          <w:tcW w:w="1768" w:type="dxa"/>
        </w:tcPr>
        <w:p w:rsidRPr="00846C10" w:rsidR="00D379A1" w:rsidP="00DD2F33" w:rsidRDefault="00D379A1" w14:paraId="5DE159AA" w14:textId="77777777">
          <w:pPr>
            <w:autoSpaceDE w:val="0"/>
            <w:autoSpaceDN w:val="0"/>
            <w:spacing w:line="120" w:lineRule="exact"/>
            <w:rPr>
              <w:rFonts w:eastAsia="Times New Roman" w:asciiTheme="majorHAnsi" w:hAnsiTheme="majorHAnsi" w:cstheme="majorHAnsi"/>
              <w:sz w:val="12"/>
              <w:szCs w:val="12"/>
              <w:lang w:eastAsia="nl-NL"/>
            </w:rPr>
          </w:pPr>
        </w:p>
      </w:tc>
      <w:tc>
        <w:tcPr>
          <w:tcW w:w="2472" w:type="dxa"/>
          <w:gridSpan w:val="2"/>
        </w:tcPr>
        <w:p w:rsidRPr="00846C10" w:rsidR="00D379A1" w:rsidP="00DD2F33" w:rsidRDefault="00D379A1" w14:paraId="2939A633" w14:textId="77777777">
          <w:pPr>
            <w:autoSpaceDE w:val="0"/>
            <w:autoSpaceDN w:val="0"/>
            <w:rPr>
              <w:rFonts w:eastAsia="Times New Roman" w:asciiTheme="majorHAnsi" w:hAnsiTheme="majorHAnsi" w:cstheme="majorHAnsi"/>
              <w:lang w:eastAsia="nl-NL"/>
            </w:rPr>
          </w:pPr>
        </w:p>
      </w:tc>
    </w:tr>
    <w:tr w:rsidR="00BC44E5" w:rsidTr="00E72440" w14:paraId="723C9B6A" w14:textId="77777777">
      <w:trPr>
        <w:trHeight w:val="227"/>
      </w:trPr>
      <w:tc>
        <w:tcPr>
          <w:tcW w:w="1485" w:type="dxa"/>
        </w:tcPr>
        <w:p w:rsidRPr="00502562" w:rsidR="00D379A1" w:rsidP="00502562" w:rsidRDefault="00D379A1" w14:paraId="43ECA580" w14:textId="77777777">
          <w:pPr>
            <w:rPr>
              <w:sz w:val="20"/>
              <w:szCs w:val="20"/>
              <w:lang w:eastAsia="nl-NL"/>
            </w:rPr>
          </w:pPr>
          <w:r w:rsidRPr="00502562">
            <w:rPr>
              <w:sz w:val="20"/>
              <w:szCs w:val="20"/>
              <w:lang w:eastAsia="nl-NL"/>
            </w:rPr>
            <w:t>UW KENMERK</w:t>
          </w:r>
        </w:p>
      </w:tc>
      <w:tc>
        <w:tcPr>
          <w:tcW w:w="154" w:type="dxa"/>
        </w:tcPr>
        <w:p w:rsidRPr="00DD2F33" w:rsidR="00D379A1" w:rsidP="00DD2F33" w:rsidRDefault="00D379A1" w14:paraId="68960819" w14:textId="77777777">
          <w:pPr>
            <w:autoSpaceDE w:val="0"/>
            <w:autoSpaceDN w:val="0"/>
            <w:rPr>
              <w:rFonts w:eastAsia="Times New Roman" w:cs="Palatino Linotype"/>
              <w:lang w:eastAsia="nl-NL"/>
            </w:rPr>
          </w:pPr>
        </w:p>
      </w:tc>
      <w:tc>
        <w:tcPr>
          <w:tcW w:w="3544" w:type="dxa"/>
        </w:tcPr>
        <w:p w:rsidRPr="00DD2F33" w:rsidR="00D379A1" w:rsidP="00DD2F33" w:rsidRDefault="00D379A1" w14:paraId="5EC196CC" w14:textId="4C4E66CC">
          <w:pPr>
            <w:autoSpaceDE w:val="0"/>
            <w:autoSpaceDN w:val="0"/>
            <w:rPr>
              <w:rFonts w:eastAsia="Times New Roman" w:cs="Palatino Linotype"/>
              <w:lang w:eastAsia="nl-NL"/>
            </w:rPr>
          </w:pPr>
          <w:r>
            <w:rPr>
              <w:rFonts w:eastAsia="Times New Roman" w:cs="Palatino Linotype"/>
              <w:lang w:eastAsia="nl-NL"/>
            </w:rPr>
            <w:t>N.v.t.</w:t>
          </w:r>
        </w:p>
      </w:tc>
      <w:tc>
        <w:tcPr>
          <w:tcW w:w="1768" w:type="dxa"/>
        </w:tcPr>
        <w:p w:rsidRPr="00DD2F33" w:rsidR="00D379A1" w:rsidP="00DD2F33" w:rsidRDefault="00D379A1" w14:paraId="43C309A5" w14:textId="77777777">
          <w:pPr>
            <w:autoSpaceDE w:val="0"/>
            <w:autoSpaceDN w:val="0"/>
            <w:spacing w:line="120" w:lineRule="exact"/>
            <w:rPr>
              <w:rFonts w:ascii="V&amp;W Syntax (Adobe)" w:hAnsi="V&amp;W Syntax (Adobe)" w:eastAsia="Times New Roman" w:cs="V&amp;W Syntax (Adobe)"/>
              <w:sz w:val="12"/>
              <w:szCs w:val="12"/>
              <w:lang w:eastAsia="nl-NL"/>
            </w:rPr>
          </w:pPr>
        </w:p>
      </w:tc>
      <w:tc>
        <w:tcPr>
          <w:tcW w:w="2472" w:type="dxa"/>
          <w:gridSpan w:val="2"/>
        </w:tcPr>
        <w:p w:rsidRPr="00DD2F33" w:rsidR="00D379A1" w:rsidP="00DD2F33" w:rsidRDefault="00D379A1" w14:paraId="2C55CA3F" w14:textId="77777777">
          <w:pPr>
            <w:autoSpaceDE w:val="0"/>
            <w:autoSpaceDN w:val="0"/>
            <w:rPr>
              <w:rFonts w:eastAsia="Times New Roman" w:cs="Palatino Linotype"/>
              <w:lang w:eastAsia="nl-NL"/>
            </w:rPr>
          </w:pPr>
        </w:p>
      </w:tc>
    </w:tr>
    <w:tr w:rsidR="00BC44E5" w:rsidTr="00E72440" w14:paraId="2678F869" w14:textId="77777777">
      <w:trPr>
        <w:trHeight w:val="227"/>
      </w:trPr>
      <w:tc>
        <w:tcPr>
          <w:tcW w:w="1485" w:type="dxa"/>
        </w:tcPr>
        <w:p w:rsidRPr="00502562" w:rsidR="00D379A1" w:rsidP="00502562" w:rsidRDefault="00D379A1" w14:paraId="1A232B1E" w14:textId="77777777">
          <w:pPr>
            <w:rPr>
              <w:sz w:val="20"/>
              <w:szCs w:val="20"/>
              <w:lang w:eastAsia="nl-NL"/>
            </w:rPr>
          </w:pPr>
          <w:r w:rsidRPr="00502562">
            <w:rPr>
              <w:sz w:val="20"/>
              <w:szCs w:val="20"/>
              <w:lang w:eastAsia="nl-NL"/>
            </w:rPr>
            <w:t>UW BRIEF VAN</w:t>
          </w:r>
        </w:p>
      </w:tc>
      <w:tc>
        <w:tcPr>
          <w:tcW w:w="154" w:type="dxa"/>
        </w:tcPr>
        <w:p w:rsidRPr="00DD2F33" w:rsidR="00D379A1" w:rsidP="00DD2F33" w:rsidRDefault="00D379A1" w14:paraId="5239F03E" w14:textId="77777777">
          <w:pPr>
            <w:autoSpaceDE w:val="0"/>
            <w:autoSpaceDN w:val="0"/>
            <w:rPr>
              <w:rFonts w:eastAsia="Times New Roman" w:cs="Palatino Linotype"/>
              <w:lang w:eastAsia="nl-NL"/>
            </w:rPr>
          </w:pPr>
        </w:p>
      </w:tc>
      <w:tc>
        <w:tcPr>
          <w:tcW w:w="3544" w:type="dxa"/>
        </w:tcPr>
        <w:p w:rsidRPr="00DD2F33" w:rsidR="00D379A1" w:rsidP="00DD2F33" w:rsidRDefault="00D379A1" w14:paraId="13C26C45" w14:textId="1B735E3E">
          <w:pPr>
            <w:autoSpaceDE w:val="0"/>
            <w:autoSpaceDN w:val="0"/>
            <w:rPr>
              <w:rFonts w:eastAsia="Times New Roman" w:cs="Palatino Linotype"/>
              <w:lang w:eastAsia="nl-NL"/>
            </w:rPr>
          </w:pPr>
          <w:r>
            <w:rPr>
              <w:rFonts w:eastAsia="Times New Roman" w:cs="Palatino Linotype"/>
              <w:lang w:eastAsia="nl-NL"/>
            </w:rPr>
            <w:t>27 maart 2024</w:t>
          </w:r>
        </w:p>
      </w:tc>
      <w:tc>
        <w:tcPr>
          <w:tcW w:w="1768" w:type="dxa"/>
        </w:tcPr>
        <w:p w:rsidRPr="00502562" w:rsidR="00D379A1" w:rsidP="00502562" w:rsidRDefault="00D379A1" w14:paraId="24C03C34" w14:textId="77777777">
          <w:pPr>
            <w:rPr>
              <w:sz w:val="20"/>
              <w:szCs w:val="20"/>
              <w:lang w:eastAsia="nl-NL"/>
            </w:rPr>
          </w:pPr>
          <w:r w:rsidRPr="00502562">
            <w:rPr>
              <w:sz w:val="20"/>
              <w:szCs w:val="20"/>
              <w:lang w:eastAsia="nl-NL"/>
            </w:rPr>
            <w:t>CONTACTPERSOON</w:t>
          </w:r>
        </w:p>
      </w:tc>
      <w:tc>
        <w:tcPr>
          <w:tcW w:w="217" w:type="dxa"/>
        </w:tcPr>
        <w:p w:rsidRPr="00DD2F33" w:rsidR="00D379A1" w:rsidP="00DD2F33" w:rsidRDefault="00D379A1" w14:paraId="7DD26603" w14:textId="77777777">
          <w:pPr>
            <w:autoSpaceDE w:val="0"/>
            <w:autoSpaceDN w:val="0"/>
            <w:rPr>
              <w:rFonts w:eastAsia="Times New Roman" w:cs="Palatino Linotype"/>
              <w:lang w:eastAsia="nl-NL"/>
            </w:rPr>
          </w:pPr>
        </w:p>
      </w:tc>
      <w:tc>
        <w:tcPr>
          <w:tcW w:w="2255" w:type="dxa"/>
        </w:tcPr>
        <w:p w:rsidRPr="00DD2F33" w:rsidR="00D379A1" w:rsidP="007C62D6" w:rsidRDefault="00D379A1" w14:paraId="0BA07A1A" w14:textId="76CCBCA1">
          <w:pPr>
            <w:autoSpaceDE w:val="0"/>
            <w:autoSpaceDN w:val="0"/>
            <w:rPr>
              <w:rFonts w:eastAsia="Times New Roman" w:cs="Palatino Linotype"/>
              <w:lang w:eastAsia="nl-NL"/>
            </w:rPr>
          </w:pPr>
          <w:r>
            <w:rPr>
              <w:rFonts w:eastAsia="Times New Roman" w:cs="Palatino Linotype"/>
              <w:noProof/>
              <w:lang w:eastAsia="nl-NL"/>
            </w:rPr>
            <w:t>M. Butselaar</w:t>
          </w:r>
        </w:p>
      </w:tc>
    </w:tr>
    <w:tr w:rsidR="00BC44E5" w:rsidTr="00E72440" w14:paraId="5B5FDCEC" w14:textId="77777777">
      <w:tc>
        <w:tcPr>
          <w:tcW w:w="1485" w:type="dxa"/>
        </w:tcPr>
        <w:p w:rsidRPr="00502562" w:rsidR="00D379A1" w:rsidP="00502562" w:rsidRDefault="00D379A1" w14:paraId="09DE9A22" w14:textId="77777777">
          <w:pPr>
            <w:rPr>
              <w:sz w:val="20"/>
              <w:szCs w:val="20"/>
              <w:lang w:eastAsia="nl-NL"/>
            </w:rPr>
          </w:pPr>
          <w:r w:rsidRPr="00502562">
            <w:rPr>
              <w:sz w:val="20"/>
              <w:szCs w:val="20"/>
              <w:lang w:eastAsia="nl-NL"/>
            </w:rPr>
            <w:t>ONS KENMERK</w:t>
          </w:r>
        </w:p>
      </w:tc>
      <w:tc>
        <w:tcPr>
          <w:tcW w:w="154" w:type="dxa"/>
        </w:tcPr>
        <w:p w:rsidRPr="00DD2F33" w:rsidR="00D379A1" w:rsidP="00DD2F33" w:rsidRDefault="00D379A1" w14:paraId="3BCBB07E" w14:textId="77777777">
          <w:pPr>
            <w:autoSpaceDE w:val="0"/>
            <w:autoSpaceDN w:val="0"/>
            <w:rPr>
              <w:rFonts w:eastAsia="Times New Roman" w:cs="Palatino Linotype"/>
              <w:lang w:eastAsia="nl-NL"/>
            </w:rPr>
          </w:pPr>
        </w:p>
      </w:tc>
      <w:tc>
        <w:tcPr>
          <w:tcW w:w="3544" w:type="dxa"/>
        </w:tcPr>
        <w:p w:rsidRPr="00DD2F33" w:rsidR="00D379A1" w:rsidP="00BB367F" w:rsidRDefault="00D379A1" w14:paraId="103E96B6" w14:textId="77777777">
          <w:pPr>
            <w:autoSpaceDE w:val="0"/>
            <w:autoSpaceDN w:val="0"/>
            <w:rPr>
              <w:rFonts w:eastAsia="Times New Roman" w:cs="Palatino Linotype"/>
              <w:lang w:eastAsia="nl-NL"/>
            </w:rPr>
          </w:pPr>
          <w:r>
            <w:rPr>
              <w:rFonts w:eastAsia="Times New Roman" w:cs="Palatino Linotype"/>
              <w:lang w:eastAsia="nl-NL"/>
            </w:rPr>
            <w:t>GZDGCB1449266/1471221</w:t>
          </w:r>
        </w:p>
      </w:tc>
      <w:tc>
        <w:tcPr>
          <w:tcW w:w="1768" w:type="dxa"/>
        </w:tcPr>
        <w:p w:rsidRPr="00502562" w:rsidR="00D379A1" w:rsidP="00502562" w:rsidRDefault="00D379A1" w14:paraId="4C287BCA" w14:textId="77777777">
          <w:pPr>
            <w:rPr>
              <w:sz w:val="20"/>
              <w:szCs w:val="20"/>
              <w:lang w:eastAsia="nl-NL"/>
            </w:rPr>
          </w:pPr>
          <w:r w:rsidRPr="00502562">
            <w:rPr>
              <w:sz w:val="20"/>
              <w:szCs w:val="20"/>
              <w:lang w:eastAsia="nl-NL"/>
            </w:rPr>
            <w:t>TELEFOONNUMMER</w:t>
          </w:r>
        </w:p>
      </w:tc>
      <w:tc>
        <w:tcPr>
          <w:tcW w:w="217" w:type="dxa"/>
        </w:tcPr>
        <w:p w:rsidRPr="00DD2F33" w:rsidR="00D379A1" w:rsidP="00DD2F33" w:rsidRDefault="00D379A1" w14:paraId="4821CCA6" w14:textId="77777777">
          <w:pPr>
            <w:autoSpaceDE w:val="0"/>
            <w:autoSpaceDN w:val="0"/>
            <w:rPr>
              <w:rFonts w:eastAsia="Times New Roman" w:cs="Palatino Linotype"/>
              <w:lang w:eastAsia="nl-NL"/>
            </w:rPr>
          </w:pPr>
        </w:p>
      </w:tc>
      <w:tc>
        <w:tcPr>
          <w:tcW w:w="2255" w:type="dxa"/>
        </w:tcPr>
        <w:p w:rsidRPr="00DD2F33" w:rsidR="00D379A1" w:rsidP="00940A13" w:rsidRDefault="00D379A1" w14:paraId="53B4D518" w14:textId="77777777">
          <w:pPr>
            <w:autoSpaceDE w:val="0"/>
            <w:autoSpaceDN w:val="0"/>
            <w:rPr>
              <w:rFonts w:eastAsia="Times New Roman" w:cs="Palatino Linotype"/>
              <w:lang w:eastAsia="nl-NL"/>
            </w:rPr>
          </w:pPr>
          <w:r>
            <w:rPr>
              <w:rFonts w:eastAsia="Times New Roman" w:cs="Palatino Linotype"/>
              <w:noProof/>
              <w:lang w:eastAsia="nl-NL"/>
            </w:rPr>
            <w:t>0345-477700</w:t>
          </w:r>
        </w:p>
      </w:tc>
    </w:tr>
    <w:tr w:rsidR="00BC44E5" w:rsidTr="00E72440" w14:paraId="403D1886" w14:textId="77777777">
      <w:tc>
        <w:tcPr>
          <w:tcW w:w="1485" w:type="dxa"/>
        </w:tcPr>
        <w:p w:rsidRPr="00502562" w:rsidR="00D379A1" w:rsidP="00502562" w:rsidRDefault="00D379A1" w14:paraId="07AB3676" w14:textId="77777777">
          <w:pPr>
            <w:rPr>
              <w:sz w:val="20"/>
              <w:szCs w:val="20"/>
              <w:lang w:eastAsia="nl-NL"/>
            </w:rPr>
          </w:pPr>
          <w:r w:rsidRPr="00502562">
            <w:rPr>
              <w:sz w:val="20"/>
              <w:szCs w:val="20"/>
              <w:lang w:eastAsia="nl-NL"/>
            </w:rPr>
            <w:t>VERZENDDATUM</w:t>
          </w:r>
        </w:p>
      </w:tc>
      <w:tc>
        <w:tcPr>
          <w:tcW w:w="154" w:type="dxa"/>
        </w:tcPr>
        <w:p w:rsidRPr="00DD2F33" w:rsidR="00D379A1" w:rsidP="00E72440" w:rsidRDefault="00D379A1" w14:paraId="4E54EF7C" w14:textId="77777777">
          <w:pPr>
            <w:autoSpaceDE w:val="0"/>
            <w:autoSpaceDN w:val="0"/>
            <w:rPr>
              <w:rFonts w:eastAsia="Times New Roman" w:cs="Palatino Linotype"/>
              <w:vanish/>
              <w:lang w:eastAsia="nl-NL"/>
            </w:rPr>
          </w:pPr>
        </w:p>
      </w:tc>
      <w:tc>
        <w:tcPr>
          <w:tcW w:w="3544" w:type="dxa"/>
        </w:tcPr>
        <w:p w:rsidRPr="00C23E08" w:rsidR="00D379A1" w:rsidP="00C23E08" w:rsidRDefault="00D379A1" w14:paraId="2B743EBE" w14:textId="77777777">
          <w:pPr>
            <w:rPr>
              <w:lang w:eastAsia="nl-NL"/>
            </w:rPr>
          </w:pPr>
          <w:r>
            <w:rPr>
              <w:lang w:eastAsia="nl-NL"/>
            </w:rPr>
            <w:t>14 juni 2024</w:t>
          </w:r>
        </w:p>
      </w:tc>
      <w:tc>
        <w:tcPr>
          <w:tcW w:w="1768" w:type="dxa"/>
        </w:tcPr>
        <w:p w:rsidRPr="00502562" w:rsidR="00D379A1" w:rsidP="00502562" w:rsidRDefault="00D379A1" w14:paraId="2597B892" w14:textId="77777777">
          <w:pPr>
            <w:rPr>
              <w:sz w:val="20"/>
              <w:szCs w:val="20"/>
              <w:lang w:eastAsia="nl-NL"/>
            </w:rPr>
          </w:pPr>
          <w:r w:rsidRPr="00502562">
            <w:rPr>
              <w:sz w:val="20"/>
              <w:szCs w:val="20"/>
              <w:lang w:eastAsia="nl-NL"/>
            </w:rPr>
            <w:t>TEAM</w:t>
          </w:r>
        </w:p>
      </w:tc>
      <w:tc>
        <w:tcPr>
          <w:tcW w:w="217" w:type="dxa"/>
        </w:tcPr>
        <w:p w:rsidRPr="00DD2F33" w:rsidR="00D379A1" w:rsidP="00E72440" w:rsidRDefault="00D379A1" w14:paraId="48907FB2" w14:textId="77777777">
          <w:pPr>
            <w:autoSpaceDE w:val="0"/>
            <w:autoSpaceDN w:val="0"/>
            <w:rPr>
              <w:rFonts w:eastAsia="Times New Roman" w:cs="Palatino Linotype"/>
              <w:lang w:eastAsia="nl-NL"/>
            </w:rPr>
          </w:pPr>
        </w:p>
      </w:tc>
      <w:tc>
        <w:tcPr>
          <w:tcW w:w="2255" w:type="dxa"/>
        </w:tcPr>
        <w:p w:rsidRPr="00DD2F33" w:rsidR="00D379A1" w:rsidP="00307D8E" w:rsidRDefault="00D379A1" w14:paraId="6A7FB484" w14:textId="77777777">
          <w:pPr>
            <w:autoSpaceDE w:val="0"/>
            <w:autoSpaceDN w:val="0"/>
            <w:rPr>
              <w:rFonts w:eastAsia="Times New Roman" w:cs="Palatino Linotype"/>
              <w:lang w:eastAsia="nl-NL"/>
            </w:rPr>
          </w:pPr>
          <w:r>
            <w:rPr>
              <w:rFonts w:eastAsia="Times New Roman" w:cs="Palatino Linotype"/>
              <w:noProof/>
              <w:lang w:eastAsia="nl-NL"/>
            </w:rPr>
            <w:t>Veiligheid</w:t>
          </w:r>
          <w:r w:rsidRPr="00C57249">
            <w:rPr>
              <w:rFonts w:eastAsia="Times New Roman" w:cs="Palatino Linotype"/>
              <w:noProof/>
              <w:lang w:eastAsia="nl-NL"/>
            </w:rPr>
            <w:t xml:space="preserve"> </w:t>
          </w:r>
        </w:p>
      </w:tc>
    </w:tr>
    <w:tr w:rsidR="00BC44E5" w:rsidTr="00E72440" w14:paraId="4D3D60ED" w14:textId="77777777">
      <w:trPr>
        <w:trHeight w:val="510"/>
      </w:trPr>
      <w:tc>
        <w:tcPr>
          <w:tcW w:w="9423" w:type="dxa"/>
          <w:gridSpan w:val="6"/>
        </w:tcPr>
        <w:p w:rsidRPr="00502562" w:rsidR="00D379A1" w:rsidP="00502562" w:rsidRDefault="00D379A1" w14:paraId="02E2AE17" w14:textId="77777777">
          <w:pPr>
            <w:rPr>
              <w:rFonts w:cs="Palatino Linotype"/>
              <w:sz w:val="20"/>
              <w:szCs w:val="20"/>
              <w:lang w:eastAsia="nl-NL"/>
            </w:rPr>
          </w:pPr>
        </w:p>
      </w:tc>
    </w:tr>
    <w:tr w:rsidR="00BC44E5" w:rsidTr="00E72440" w14:paraId="3DA92C1E" w14:textId="77777777">
      <w:tc>
        <w:tcPr>
          <w:tcW w:w="1485" w:type="dxa"/>
        </w:tcPr>
        <w:p w:rsidRPr="00502562" w:rsidR="00D379A1" w:rsidP="00502562" w:rsidRDefault="00D379A1" w14:paraId="46BC4342" w14:textId="77777777">
          <w:pPr>
            <w:rPr>
              <w:sz w:val="20"/>
              <w:szCs w:val="20"/>
              <w:lang w:eastAsia="nl-NL"/>
            </w:rPr>
          </w:pPr>
          <w:r w:rsidRPr="00502562">
            <w:rPr>
              <w:sz w:val="20"/>
              <w:szCs w:val="20"/>
            </w:rPr>
            <w:t>ONDERWERP</w:t>
          </w:r>
        </w:p>
      </w:tc>
      <w:tc>
        <w:tcPr>
          <w:tcW w:w="154" w:type="dxa"/>
        </w:tcPr>
        <w:p w:rsidRPr="00DD2F33" w:rsidR="00D379A1" w:rsidP="00DD2F33" w:rsidRDefault="00D379A1" w14:paraId="3F6D1FAE" w14:textId="77777777">
          <w:pPr>
            <w:autoSpaceDE w:val="0"/>
            <w:autoSpaceDN w:val="0"/>
            <w:rPr>
              <w:rFonts w:eastAsia="Times New Roman" w:cs="Palatino Linotype"/>
              <w:lang w:eastAsia="nl-NL"/>
            </w:rPr>
          </w:pPr>
        </w:p>
      </w:tc>
      <w:tc>
        <w:tcPr>
          <w:tcW w:w="7784" w:type="dxa"/>
          <w:gridSpan w:val="4"/>
        </w:tcPr>
        <w:p w:rsidRPr="00DD2F33" w:rsidR="00D379A1" w:rsidP="006F7FD3" w:rsidRDefault="00D379A1" w14:paraId="586534D8" w14:textId="77777777">
          <w:pPr>
            <w:autoSpaceDE w:val="0"/>
            <w:autoSpaceDN w:val="0"/>
            <w:rPr>
              <w:rFonts w:eastAsia="Times New Roman" w:cs="Palatino Linotype"/>
              <w:lang w:eastAsia="nl-NL"/>
            </w:rPr>
          </w:pPr>
          <w:r>
            <w:rPr>
              <w:rFonts w:eastAsia="Times New Roman" w:cs="Palatino Linotype"/>
              <w:noProof/>
              <w:lang w:eastAsia="nl-NL"/>
            </w:rPr>
            <w:t>Jaarrekening 2023 en begroting 2025 Veiligheidsregio Gelderland-Zuid</w:t>
          </w:r>
        </w:p>
      </w:tc>
    </w:tr>
    <w:tr w:rsidR="00BC44E5" w:rsidTr="00E72440" w14:paraId="277C60D5" w14:textId="77777777">
      <w:trPr>
        <w:trHeight w:val="454"/>
      </w:trPr>
      <w:tc>
        <w:tcPr>
          <w:tcW w:w="9423" w:type="dxa"/>
          <w:gridSpan w:val="6"/>
        </w:tcPr>
        <w:p w:rsidRPr="00DD2F33" w:rsidR="00D379A1" w:rsidP="00DD2F33" w:rsidRDefault="00D379A1" w14:paraId="1E0E5916" w14:textId="77777777">
          <w:pPr>
            <w:autoSpaceDE w:val="0"/>
            <w:autoSpaceDN w:val="0"/>
            <w:rPr>
              <w:rFonts w:eastAsia="Times New Roman" w:cs="Palatino Linotype"/>
              <w:lang w:eastAsia="nl-NL"/>
            </w:rPr>
          </w:pPr>
        </w:p>
      </w:tc>
    </w:tr>
    <w:tr w:rsidR="00BC44E5" w:rsidTr="00E72440" w14:paraId="337C5C8D" w14:textId="77777777">
      <w:tc>
        <w:tcPr>
          <w:tcW w:w="1485" w:type="dxa"/>
        </w:tcPr>
        <w:p w:rsidR="00D379A1" w:rsidP="0017573E" w:rsidRDefault="00D379A1" w14:paraId="699B9BED" w14:textId="77777777">
          <w:pPr>
            <w:autoSpaceDE w:val="0"/>
            <w:autoSpaceDN w:val="0"/>
            <w:spacing w:line="120" w:lineRule="exact"/>
            <w:jc w:val="right"/>
            <w:rPr>
              <w:rFonts w:ascii="V&amp;W Syntax (Adobe)" w:hAnsi="V&amp;W Syntax (Adobe)" w:cs="V&amp;W Syntax (Adobe)"/>
              <w:sz w:val="12"/>
              <w:szCs w:val="12"/>
            </w:rPr>
          </w:pPr>
        </w:p>
      </w:tc>
      <w:tc>
        <w:tcPr>
          <w:tcW w:w="154" w:type="dxa"/>
        </w:tcPr>
        <w:p w:rsidRPr="00DD2F33" w:rsidR="00D379A1" w:rsidP="00DD2F33" w:rsidRDefault="00D379A1" w14:paraId="11B9B70E" w14:textId="77777777">
          <w:pPr>
            <w:autoSpaceDE w:val="0"/>
            <w:autoSpaceDN w:val="0"/>
            <w:rPr>
              <w:rFonts w:eastAsia="Times New Roman" w:cs="Palatino Linotype"/>
              <w:lang w:eastAsia="nl-NL"/>
            </w:rPr>
          </w:pPr>
        </w:p>
      </w:tc>
      <w:tc>
        <w:tcPr>
          <w:tcW w:w="7784" w:type="dxa"/>
          <w:gridSpan w:val="4"/>
        </w:tcPr>
        <w:p w:rsidRPr="00DD2F33" w:rsidR="00D379A1" w:rsidP="002575DE" w:rsidRDefault="00D379A1" w14:paraId="1CB05367" w14:textId="2E7889EC">
          <w:pPr>
            <w:autoSpaceDE w:val="0"/>
            <w:autoSpaceDN w:val="0"/>
            <w:rPr>
              <w:rFonts w:eastAsia="Times New Roman" w:cs="Palatino Linotype"/>
              <w:lang w:eastAsia="nl-NL"/>
            </w:rPr>
          </w:pPr>
          <w:r>
            <w:t>Geacht bestuur,</w:t>
          </w:r>
        </w:p>
      </w:tc>
    </w:tr>
  </w:tbl>
  <w:p w:rsidR="00D379A1" w:rsidRDefault="00D379A1" w14:paraId="44F767A9" w14:textId="777777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4E5"/>
    <w:rsid w:val="00112EB8"/>
    <w:rsid w:val="008869F7"/>
    <w:rsid w:val="00BC44E5"/>
    <w:rsid w:val="00C529BB"/>
    <w:rsid w:val="00D379A1"/>
    <w:rsid w:val="00D415F7"/>
    <w:rsid w:val="0F99BAAE"/>
    <w:rsid w:val="6D16C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1A0C"/>
  <w15:docId w15:val="{797B18ED-6F61-4289-9137-60E40CA2F0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Standaard" w:default="1">
    <w:name w:val="Normal"/>
    <w:qFormat/>
    <w:rsid w:val="005B04F6"/>
    <w:pPr>
      <w:spacing w:after="0" w:line="240" w:lineRule="auto"/>
    </w:pPr>
    <w:rPr>
      <w:rFonts w:ascii="Calibri" w:hAnsi="Calibr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2C6D2B"/>
    <w:pPr>
      <w:tabs>
        <w:tab w:val="center" w:pos="4536"/>
        <w:tab w:val="right" w:pos="9072"/>
      </w:tabs>
    </w:pPr>
  </w:style>
  <w:style w:type="character" w:styleId="KoptekstChar" w:customStyle="1">
    <w:name w:val="Koptekst Char"/>
    <w:basedOn w:val="Standaardalinea-lettertype"/>
    <w:link w:val="Koptekst"/>
    <w:uiPriority w:val="99"/>
    <w:rsid w:val="002C6D2B"/>
  </w:style>
  <w:style w:type="paragraph" w:styleId="Voettekst">
    <w:name w:val="footer"/>
    <w:basedOn w:val="Standaard"/>
    <w:link w:val="VoettekstChar"/>
    <w:uiPriority w:val="99"/>
    <w:unhideWhenUsed/>
    <w:rsid w:val="002C6D2B"/>
    <w:pPr>
      <w:tabs>
        <w:tab w:val="center" w:pos="4536"/>
        <w:tab w:val="right" w:pos="9072"/>
      </w:tabs>
    </w:pPr>
  </w:style>
  <w:style w:type="character" w:styleId="VoettekstChar" w:customStyle="1">
    <w:name w:val="Voettekst Char"/>
    <w:basedOn w:val="Standaardalinea-lettertype"/>
    <w:link w:val="Voettekst"/>
    <w:uiPriority w:val="99"/>
    <w:rsid w:val="002C6D2B"/>
  </w:style>
  <w:style w:type="table" w:styleId="Tabelraster">
    <w:name w:val="Table Grid"/>
    <w:basedOn w:val="Standaardtabel"/>
    <w:uiPriority w:val="39"/>
    <w:rsid w:val="00340C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D379A1"/>
    <w:rPr>
      <w:color w:val="0563C1" w:themeColor="hyperlink"/>
      <w:u w:val="single"/>
    </w:rPr>
  </w:style>
  <w:style w:type="character" w:styleId="Onopgelostemelding">
    <w:name w:val="Unresolved Mention"/>
    <w:basedOn w:val="Standaardalinea-lettertype"/>
    <w:uiPriority w:val="99"/>
    <w:rsid w:val="00D37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m.butselaar@culemborg.nl"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BVOWB</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Gans, Ruben</dc:creator>
  <lastModifiedBy>Butselaar, Mariska</lastModifiedBy>
  <revision>5</revision>
  <dcterms:created xsi:type="dcterms:W3CDTF">2024-05-14T09:48:00.0000000Z</dcterms:created>
  <dcterms:modified xsi:type="dcterms:W3CDTF">2024-05-14T12:11:54.8086349Z</dcterms:modified>
</coreProperties>
</file>