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9825" w14:textId="6786869A" w:rsidR="00D27207" w:rsidRDefault="008C760C">
      <w:r>
        <w:t>Geachte heer/mevrouw,</w:t>
      </w:r>
    </w:p>
    <w:p w14:paraId="64B8E8BA" w14:textId="77777777" w:rsidR="008C760C" w:rsidRDefault="008C760C"/>
    <w:p w14:paraId="6581851A" w14:textId="77777777" w:rsidR="008C760C" w:rsidRDefault="008C760C" w:rsidP="008C760C">
      <w:r>
        <w:t>Naar aanleiding van uw brief d.d. 15 december 2023 ontvangt u hierbij onze zienswijze op</w:t>
      </w:r>
    </w:p>
    <w:p w14:paraId="34DC2B1C" w14:textId="77777777" w:rsidR="008C760C" w:rsidRDefault="008C760C" w:rsidP="008C760C">
      <w:r>
        <w:t>de wijziging van de gemeenschappelijke regeling. Deze wijziging komt voort uit de</w:t>
      </w:r>
    </w:p>
    <w:p w14:paraId="7D6EA3E4" w14:textId="77777777" w:rsidR="008C760C" w:rsidRDefault="008C760C" w:rsidP="008C760C">
      <w:r>
        <w:t>implementatie van de aangepaste Wet Gemeenschappelijke Regelingen.</w:t>
      </w:r>
    </w:p>
    <w:p w14:paraId="340B5817" w14:textId="77777777" w:rsidR="008C760C" w:rsidRDefault="008C760C" w:rsidP="008C760C"/>
    <w:p w14:paraId="1892500D" w14:textId="77777777" w:rsidR="008C760C" w:rsidRDefault="008C760C" w:rsidP="008C760C">
      <w:r>
        <w:t>Allereerst willen wij onze waardering uitspreken voor het implementatieproces dat u hebt</w:t>
      </w:r>
    </w:p>
    <w:p w14:paraId="4015BDB1" w14:textId="77777777" w:rsidR="008C760C" w:rsidRDefault="008C760C" w:rsidP="008C760C">
      <w:r>
        <w:t>opgestart, samen met de andere gemeenschappelijke regelingen die actief zijn in</w:t>
      </w:r>
    </w:p>
    <w:p w14:paraId="1D1B0745" w14:textId="77777777" w:rsidR="008C760C" w:rsidRDefault="008C760C" w:rsidP="008C760C">
      <w:r>
        <w:t>Rivierenland. Het betreft een complexe operatie en het verdient een compliment dat u elkaar</w:t>
      </w:r>
    </w:p>
    <w:p w14:paraId="30F29EFC" w14:textId="77777777" w:rsidR="008C760C" w:rsidRDefault="008C760C" w:rsidP="008C760C">
      <w:r>
        <w:t>heeft opgezocht om de implementatie gezamenlijk te organiseren.</w:t>
      </w:r>
    </w:p>
    <w:p w14:paraId="3C4290B6" w14:textId="77777777" w:rsidR="008C760C" w:rsidRDefault="008C760C" w:rsidP="008C760C"/>
    <w:p w14:paraId="66C9F6DF" w14:textId="77777777" w:rsidR="008C760C" w:rsidRDefault="008C760C" w:rsidP="008C760C">
      <w:r>
        <w:t>We hechten veel waarde aan een goede implementatie van de wetswijziging. In algemene</w:t>
      </w:r>
    </w:p>
    <w:p w14:paraId="6D10B43B" w14:textId="77777777" w:rsidR="008C760C" w:rsidRDefault="008C760C" w:rsidP="008C760C">
      <w:r>
        <w:t>zin vinden we het wenselijk dat wij als gemeenten taken gezamenlijk oppakken en daartoe</w:t>
      </w:r>
    </w:p>
    <w:p w14:paraId="729552D2" w14:textId="05E79F62" w:rsidR="008C760C" w:rsidRDefault="008C760C" w:rsidP="008C760C">
      <w:r>
        <w:t xml:space="preserve">samenwerkingsverbanden organiseren. Dit draagt er aan bij dat wij onze publieke taak </w:t>
      </w:r>
      <w:r w:rsidR="00F03CEE">
        <w:t>efficiënt</w:t>
      </w:r>
      <w:r>
        <w:t xml:space="preserve"> en doelmatig kunnen uitvoeren. Tegelijkertijd zijn wij er alert op bij vormen</w:t>
      </w:r>
    </w:p>
    <w:p w14:paraId="659728A4" w14:textId="77777777" w:rsidR="008C760C" w:rsidRDefault="008C760C" w:rsidP="008C760C">
      <w:r>
        <w:t>van samenwerking en/of uitbesteding de rol van de raad, en de democratische legitimiteit</w:t>
      </w:r>
    </w:p>
    <w:p w14:paraId="72FEFA36" w14:textId="77777777" w:rsidR="008C760C" w:rsidRDefault="008C760C" w:rsidP="008C760C">
      <w:r>
        <w:t>van onze taken in brede zin, niet in het gedrang komen. Wij hebben aandacht voor de</w:t>
      </w:r>
    </w:p>
    <w:p w14:paraId="3AD1D344" w14:textId="77777777" w:rsidR="008C760C" w:rsidRDefault="008C760C" w:rsidP="008C760C">
      <w:r>
        <w:t>dienstverlening aan inwoners, willen kaders stellen met betrekking tot de taakopvatting van</w:t>
      </w:r>
    </w:p>
    <w:p w14:paraId="1EA2B60A" w14:textId="77777777" w:rsidR="008C760C" w:rsidRDefault="008C760C" w:rsidP="008C760C">
      <w:r>
        <w:t>verbonden partijen en vragen aandacht voor de beperkte middelen die beschikbaar zijn in</w:t>
      </w:r>
    </w:p>
    <w:p w14:paraId="632E6B68" w14:textId="77777777" w:rsidR="008C760C" w:rsidRDefault="008C760C" w:rsidP="008C760C">
      <w:r>
        <w:t>deze financieel krappe tijden. In deze context zien wij de aanpassing van de wet als een</w:t>
      </w:r>
    </w:p>
    <w:p w14:paraId="06DB6374" w14:textId="77777777" w:rsidR="008C760C" w:rsidRDefault="008C760C" w:rsidP="008C760C">
      <w:r>
        <w:t>wenselijke ontwikkeling. Het draagt bij aan een sterkere positie van de gemeenteraad en</w:t>
      </w:r>
    </w:p>
    <w:p w14:paraId="2983177C" w14:textId="77777777" w:rsidR="008C760C" w:rsidRDefault="008C760C" w:rsidP="008C760C">
      <w:r>
        <w:t>vergroot onze mogelijkheden om uw plannen en voornemens te toetsen aan onze ambities</w:t>
      </w:r>
    </w:p>
    <w:p w14:paraId="729ED5E9" w14:textId="2528A852" w:rsidR="008C760C" w:rsidRDefault="008C760C" w:rsidP="008C760C">
      <w:r>
        <w:t xml:space="preserve">zoals vastgelegd in het </w:t>
      </w:r>
      <w:proofErr w:type="spellStart"/>
      <w:r>
        <w:t>coalitie-akkoord</w:t>
      </w:r>
      <w:proofErr w:type="spellEnd"/>
      <w:r>
        <w:t>.</w:t>
      </w:r>
    </w:p>
    <w:p w14:paraId="083D5A1E" w14:textId="77777777" w:rsidR="008C760C" w:rsidRDefault="008C760C" w:rsidP="008C760C"/>
    <w:p w14:paraId="6960D1A7" w14:textId="54FA1F85" w:rsidR="008C760C" w:rsidRDefault="008C760C" w:rsidP="008C760C">
      <w:r>
        <w:t>Onze zienswijze ten aanzien van de wetswijziging, voor zover die betrekking heeft op keuzemogelijkheden, is als volgt;</w:t>
      </w:r>
    </w:p>
    <w:p w14:paraId="6631A2F7" w14:textId="77777777" w:rsidR="00D07B4C" w:rsidRDefault="00D07B4C" w:rsidP="008C760C"/>
    <w:p w14:paraId="22BA0C8D" w14:textId="1181510E" w:rsidR="00D07B4C" w:rsidRDefault="00F03CEE" w:rsidP="008C760C">
      <w:r>
        <w:rPr>
          <w:b/>
          <w:bCs/>
        </w:rPr>
        <w:t>1</w:t>
      </w:r>
      <w:r w:rsidR="00D07B4C" w:rsidRPr="00D07B4C">
        <w:rPr>
          <w:b/>
          <w:bCs/>
        </w:rPr>
        <w:t>.</w:t>
      </w:r>
      <w:r w:rsidR="00D07B4C">
        <w:t xml:space="preserve"> Wij vragen aandacht voor de </w:t>
      </w:r>
      <w:r w:rsidR="00D07B4C" w:rsidRPr="00D07B4C">
        <w:rPr>
          <w:b/>
          <w:bCs/>
          <w:u w:val="single"/>
        </w:rPr>
        <w:t>diverse termijnen</w:t>
      </w:r>
      <w:r w:rsidR="00D07B4C">
        <w:t xml:space="preserve"> die zijn opgenomen in de aangepaste regeling. Deze sluiten niet afdoende aan op de Planning en Control cyclus van onze gemeente. In 2020 hebben alle college een Informatieprotocol vastgesteld dat termijnen bevat voor deze cyclus. Dit protocol is gedeeld met de directeuren van de diverse gemeenschappelijke regelingen, met als doel dit protocol in te passen. Deze gelegenheid doet zich nu voor. In de tekst van de aangepaste regeling zijn nu de wettelijke termijnen opgenomen. Die termijnen dragen niet bij aan het versterken van de controlerende taak van de gemeenteraad. Daarop roepen wij u op de termijnen uit het Informatieprotocol aan te houden. Dat zijn de volgende termijnen:</w:t>
      </w:r>
      <w:r w:rsidR="00D07B4C">
        <w:br/>
      </w:r>
      <w:r w:rsidR="00D07B4C">
        <w:lastRenderedPageBreak/>
        <w:t>- Kaderbrief uiterlijk 1 december</w:t>
      </w:r>
      <w:r w:rsidR="00D07B4C">
        <w:br/>
        <w:t>- Jaarrekening en begroting uiterlijk 15 april</w:t>
      </w:r>
    </w:p>
    <w:p w14:paraId="730A4F72" w14:textId="122AF3D6" w:rsidR="00055357" w:rsidRDefault="00055357" w:rsidP="008C760C"/>
    <w:p w14:paraId="75BF9F75" w14:textId="59D22B07" w:rsidR="001710F1" w:rsidRDefault="00F03CEE">
      <w:r>
        <w:rPr>
          <w:b/>
          <w:bCs/>
        </w:rPr>
        <w:t>2</w:t>
      </w:r>
      <w:r w:rsidR="00055357" w:rsidRPr="00055357">
        <w:rPr>
          <w:b/>
          <w:bCs/>
        </w:rPr>
        <w:t>.</w:t>
      </w:r>
      <w:r w:rsidR="00055357">
        <w:t xml:space="preserve"> U heeft in de regeling opgenomen binnen welke kaders </w:t>
      </w:r>
      <w:r w:rsidR="00055357" w:rsidRPr="00055357">
        <w:rPr>
          <w:b/>
          <w:bCs/>
          <w:u w:val="single"/>
        </w:rPr>
        <w:t>uittreding van een gemeente</w:t>
      </w:r>
      <w:r w:rsidR="00055357">
        <w:t xml:space="preserve"> uit de regeling mogelijk is. Dit staat vermeld in artikel </w:t>
      </w:r>
      <w:r>
        <w:t>32</w:t>
      </w:r>
      <w:r w:rsidR="00055357">
        <w:t>. Tijdens een regionale bijeenkomst met raadsleden (op 23 september 2023) is de wens uitgesproken om nauwgezet te omschrijven welk proces wordt doorlopen bij uittreding van een gemeente. U heeft gekozen voor een bredere invulling die zich beperkt tot het formuleren van kaders. Deze algemenere omschrijving kan ertoe leiden dat gemeenten een lagere drempel voor uittreding ervaren en de gevolgen van dit voornemen niet voldoende (kunnen) overzien. Zodoende doen wij een oproep om hier de gekozen minimale variant om te zetten naar een invulling van dit artikel volgens de dynamische variant.</w:t>
      </w:r>
      <w:r w:rsidR="00055357">
        <w:br/>
      </w:r>
    </w:p>
    <w:p w14:paraId="6EA62DB4" w14:textId="1CD17754" w:rsidR="007F4C65" w:rsidRDefault="00621941">
      <w:pPr>
        <w:rPr>
          <w:b/>
          <w:bCs/>
        </w:rPr>
      </w:pPr>
      <w:r>
        <w:rPr>
          <w:b/>
          <w:bCs/>
        </w:rPr>
        <w:t>Tot slot</w:t>
      </w:r>
    </w:p>
    <w:p w14:paraId="0F4FA1A5" w14:textId="1394DF08" w:rsidR="00621941" w:rsidRPr="00621941" w:rsidRDefault="0052233E">
      <w:r>
        <w:t xml:space="preserve">Wij vernemen graag uw reactie op de gegeven zienswijze </w:t>
      </w:r>
      <w:r w:rsidR="00055357">
        <w:t xml:space="preserve">en wensen u veel succes toe bij de verdere implementatie van de </w:t>
      </w:r>
      <w:r w:rsidR="00F03CEE">
        <w:t>wetswijziging</w:t>
      </w:r>
      <w:r w:rsidR="00055357">
        <w:t>.</w:t>
      </w:r>
    </w:p>
    <w:p w14:paraId="4EE79D58" w14:textId="5F99FBE1" w:rsidR="00BE5D80" w:rsidRDefault="00BE5D80"/>
    <w:p w14:paraId="6708A3FF" w14:textId="5DE203DA" w:rsidR="0093097F" w:rsidRDefault="0052233E" w:rsidP="0093097F">
      <w:r>
        <w:t>Met vriendelijke groeten,</w:t>
      </w:r>
      <w:r>
        <w:br/>
        <w:t>namens de gemeenteraad van Tiel,</w:t>
      </w:r>
    </w:p>
    <w:p w14:paraId="51885D47" w14:textId="77777777" w:rsidR="0093097F" w:rsidRDefault="0093097F" w:rsidP="0093097F"/>
    <w:p w14:paraId="46FB1BFD" w14:textId="77777777" w:rsidR="0093097F" w:rsidRDefault="0093097F" w:rsidP="0093097F"/>
    <w:p w14:paraId="2A6D8FAE" w14:textId="77777777" w:rsidR="0093097F" w:rsidRDefault="0093097F" w:rsidP="0093097F">
      <w:r>
        <w:t>De griffier                                    De voorzitter</w:t>
      </w:r>
    </w:p>
    <w:p w14:paraId="6B9487E7" w14:textId="77777777" w:rsidR="0007078E" w:rsidRDefault="0007078E" w:rsidP="0093097F"/>
    <w:p w14:paraId="63157349" w14:textId="77777777" w:rsidR="0007078E" w:rsidRDefault="0007078E" w:rsidP="0093097F"/>
    <w:p w14:paraId="6C61C699" w14:textId="77777777" w:rsidR="0007078E" w:rsidRDefault="0007078E" w:rsidP="0093097F"/>
    <w:p w14:paraId="498D16EA" w14:textId="77777777" w:rsidR="0007078E" w:rsidRDefault="0007078E" w:rsidP="0093097F"/>
    <w:p w14:paraId="482DC6B9" w14:textId="77777777" w:rsidR="0093097F" w:rsidRDefault="0093097F" w:rsidP="0093097F"/>
    <w:p w14:paraId="4F2729D1" w14:textId="1840363D" w:rsidR="007F4C65" w:rsidRDefault="0093097F" w:rsidP="0093097F">
      <w:r>
        <w:t xml:space="preserve">L. de Lange                                 </w:t>
      </w:r>
      <w:r w:rsidR="0007078E">
        <w:t>T. van Oostrom</w:t>
      </w:r>
    </w:p>
    <w:sectPr w:rsidR="007F4C65" w:rsidSect="00BC6DD8">
      <w:headerReference w:type="first" r:id="rId7"/>
      <w:footerReference w:type="first" r:id="rId8"/>
      <w:pgSz w:w="11907" w:h="16840" w:code="9"/>
      <w:pgMar w:top="748" w:right="851" w:bottom="1134" w:left="1701" w:header="74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EA31" w14:textId="77777777" w:rsidR="00FC7E62" w:rsidRDefault="005852A3">
      <w:r>
        <w:separator/>
      </w:r>
    </w:p>
  </w:endnote>
  <w:endnote w:type="continuationSeparator" w:id="0">
    <w:p w14:paraId="47A5466E" w14:textId="77777777" w:rsidR="00FC7E62" w:rsidRDefault="005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47BC" w14:textId="77777777" w:rsidR="007F4C65" w:rsidRDefault="00030419">
    <w:pPr>
      <w:pStyle w:val="Voettekst"/>
    </w:pPr>
    <w:r>
      <w:rPr>
        <w:noProof/>
      </w:rPr>
      <w:pict w14:anchorId="70F9E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63.5pt;margin-top:794.65pt;width:29.2pt;height:29.2pt;z-index:-251658240;mso-position-vertical-relative:page">
          <v:imagedata r:id="rId1" o:title="LogoTiel segment lrechts onder"/>
          <w10:wrap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1E97" w14:textId="77777777" w:rsidR="00FC7E62" w:rsidRDefault="005852A3">
      <w:r>
        <w:separator/>
      </w:r>
    </w:p>
  </w:footnote>
  <w:footnote w:type="continuationSeparator" w:id="0">
    <w:p w14:paraId="2B984BA8" w14:textId="77777777" w:rsidR="00FC7E62" w:rsidRDefault="0058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8DCF" w14:textId="575AAE88" w:rsidR="007F4C65" w:rsidRPr="00E9158A" w:rsidRDefault="00030419" w:rsidP="00365704">
    <w:pPr>
      <w:tabs>
        <w:tab w:val="right" w:pos="9355"/>
      </w:tabs>
      <w:rPr>
        <w:sz w:val="20"/>
        <w:szCs w:val="20"/>
      </w:rPr>
    </w:pPr>
    <w:r>
      <w:rPr>
        <w:noProof/>
      </w:rPr>
      <w:pict w14:anchorId="3F41C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9pt;margin-top:-20.25pt;width:213pt;height:59.25pt;z-index:-251656192">
          <v:imagedata r:id="rId1" o:title="1"/>
        </v:shape>
      </w:pict>
    </w:r>
    <w:r>
      <w:rPr>
        <w:noProof/>
        <w:sz w:val="20"/>
        <w:szCs w:val="20"/>
      </w:rPr>
      <w:pict w14:anchorId="595019C8">
        <v:shape id="_x0000_s2050" type="#_x0000_t75" style="position:absolute;margin-left:-1.05pt;margin-top:-20.2pt;width:29.2pt;height:29.2pt;z-index:-251657216" strokecolor="white">
          <v:imagedata r:id="rId2" o:title="LogoTiel segment links boven"/>
        </v:shape>
      </w:pict>
    </w:r>
  </w:p>
  <w:p w14:paraId="0796016A" w14:textId="77777777" w:rsidR="007F4C65" w:rsidRPr="00E9158A" w:rsidRDefault="007F4C65" w:rsidP="00365704">
    <w:pPr>
      <w:jc w:val="right"/>
      <w:rPr>
        <w:sz w:val="20"/>
        <w:szCs w:val="20"/>
      </w:rPr>
    </w:pPr>
  </w:p>
  <w:p w14:paraId="20C0F05D" w14:textId="77777777" w:rsidR="007F4C65" w:rsidRPr="00E9158A" w:rsidRDefault="007F4C65" w:rsidP="00BC6DD8">
    <w:pPr>
      <w:rPr>
        <w:sz w:val="20"/>
        <w:szCs w:val="20"/>
      </w:rPr>
    </w:pPr>
  </w:p>
  <w:p w14:paraId="24D1E3BF" w14:textId="77777777" w:rsidR="007F4C65" w:rsidRPr="00E9158A" w:rsidRDefault="007F4C65" w:rsidP="00BC6DD8">
    <w:pPr>
      <w:rPr>
        <w:sz w:val="20"/>
        <w:szCs w:val="20"/>
      </w:rPr>
    </w:pPr>
  </w:p>
  <w:tbl>
    <w:tblPr>
      <w:tblW w:w="11142" w:type="dxa"/>
      <w:tblInd w:w="-1572" w:type="dxa"/>
      <w:tblLayout w:type="fixed"/>
      <w:tblCellMar>
        <w:left w:w="0" w:type="dxa"/>
        <w:right w:w="0" w:type="dxa"/>
      </w:tblCellMar>
      <w:tblLook w:val="01E0" w:firstRow="1" w:lastRow="1" w:firstColumn="1" w:lastColumn="1" w:noHBand="0" w:noVBand="0"/>
    </w:tblPr>
    <w:tblGrid>
      <w:gridCol w:w="1572"/>
      <w:gridCol w:w="5610"/>
      <w:gridCol w:w="3960"/>
    </w:tblGrid>
    <w:tr w:rsidR="002C77F9" w14:paraId="5D2D3D73" w14:textId="77777777">
      <w:trPr>
        <w:gridBefore w:val="1"/>
        <w:wBefore w:w="1572" w:type="dxa"/>
      </w:trPr>
      <w:tc>
        <w:tcPr>
          <w:tcW w:w="5610" w:type="dxa"/>
        </w:tcPr>
        <w:p w14:paraId="231AE690" w14:textId="77777777" w:rsidR="007F4C65" w:rsidRPr="00E9158A" w:rsidRDefault="007F4C65" w:rsidP="00BC6DD8"/>
      </w:tc>
      <w:tc>
        <w:tcPr>
          <w:tcW w:w="3960" w:type="dxa"/>
        </w:tcPr>
        <w:p w14:paraId="5A0BE36D" w14:textId="77777777" w:rsidR="007F4C65" w:rsidRPr="00E9158A" w:rsidRDefault="005852A3" w:rsidP="00BC6DD8">
          <w:pPr>
            <w:tabs>
              <w:tab w:val="left" w:pos="719"/>
            </w:tabs>
            <w:spacing w:line="360" w:lineRule="auto"/>
            <w:rPr>
              <w:sz w:val="16"/>
              <w:szCs w:val="16"/>
            </w:rPr>
          </w:pPr>
          <w:r w:rsidRPr="00E9158A">
            <w:rPr>
              <w:sz w:val="16"/>
              <w:szCs w:val="16"/>
            </w:rPr>
            <w:t>Achterweg 2, 4001 MV Tiel</w:t>
          </w:r>
        </w:p>
        <w:p w14:paraId="1520A085" w14:textId="77777777" w:rsidR="007F4C65" w:rsidRPr="00E9158A" w:rsidRDefault="005852A3" w:rsidP="00BC6DD8">
          <w:pPr>
            <w:tabs>
              <w:tab w:val="left" w:pos="719"/>
            </w:tabs>
            <w:spacing w:line="360" w:lineRule="auto"/>
            <w:rPr>
              <w:sz w:val="16"/>
              <w:szCs w:val="16"/>
            </w:rPr>
          </w:pPr>
          <w:r w:rsidRPr="00E9158A">
            <w:rPr>
              <w:sz w:val="16"/>
              <w:szCs w:val="16"/>
            </w:rPr>
            <w:t>Postbus 6325, 4000 HH Tiel</w:t>
          </w:r>
        </w:p>
        <w:p w14:paraId="1FBAD294" w14:textId="77777777" w:rsidR="007F4C65" w:rsidRPr="00E9158A" w:rsidRDefault="005852A3" w:rsidP="00BC6DD8">
          <w:pPr>
            <w:tabs>
              <w:tab w:val="left" w:pos="719"/>
            </w:tabs>
            <w:spacing w:line="360" w:lineRule="auto"/>
            <w:rPr>
              <w:sz w:val="16"/>
              <w:szCs w:val="16"/>
            </w:rPr>
          </w:pPr>
          <w:r w:rsidRPr="00E9158A">
            <w:rPr>
              <w:sz w:val="16"/>
              <w:szCs w:val="16"/>
            </w:rPr>
            <w:t>Telefoon</w:t>
          </w:r>
          <w:r w:rsidRPr="00E9158A">
            <w:rPr>
              <w:sz w:val="16"/>
              <w:szCs w:val="16"/>
            </w:rPr>
            <w:tab/>
            <w:t>(0344) 637 111</w:t>
          </w:r>
        </w:p>
      </w:tc>
    </w:tr>
    <w:tr w:rsidR="002C77F9" w14:paraId="4F1BE47B" w14:textId="77777777">
      <w:trPr>
        <w:gridBefore w:val="1"/>
        <w:wBefore w:w="1572" w:type="dxa"/>
      </w:trPr>
      <w:tc>
        <w:tcPr>
          <w:tcW w:w="5610" w:type="dxa"/>
        </w:tcPr>
        <w:p w14:paraId="2B9B3BC5" w14:textId="77777777" w:rsidR="007F4C65" w:rsidRPr="00E9158A" w:rsidRDefault="005852A3" w:rsidP="00316CF8">
          <w:r>
            <w:rPr>
              <w:noProof/>
            </w:rPr>
            <w:t xml:space="preserve">  </w:t>
          </w:r>
        </w:p>
        <w:p w14:paraId="3187A5BB" w14:textId="1A5B1834" w:rsidR="0093097F" w:rsidRPr="0073348F" w:rsidRDefault="00F03CEE" w:rsidP="0093097F">
          <w:pPr>
            <w:rPr>
              <w:noProof/>
              <w:color w:val="000000" w:themeColor="text1"/>
            </w:rPr>
          </w:pPr>
          <w:r>
            <w:rPr>
              <w:noProof/>
              <w:color w:val="000000" w:themeColor="text1"/>
            </w:rPr>
            <w:t>Regionaal Archief Rivierenland</w:t>
          </w:r>
          <w:r w:rsidR="008C760C">
            <w:rPr>
              <w:noProof/>
              <w:color w:val="000000" w:themeColor="text1"/>
            </w:rPr>
            <w:br/>
            <w:t>t.a.v. dagelijks bestuur</w:t>
          </w:r>
        </w:p>
        <w:p w14:paraId="34CCA70A" w14:textId="73C8F9FA" w:rsidR="008C760C" w:rsidRDefault="00F03CEE">
          <w:r>
            <w:t>J.S. de Jongplein 3</w:t>
          </w:r>
          <w:r>
            <w:br/>
            <w:t xml:space="preserve">4001 WG </w:t>
          </w:r>
          <w:proofErr w:type="spellStart"/>
          <w:r>
            <w:t>TIel</w:t>
          </w:r>
          <w:proofErr w:type="spellEnd"/>
        </w:p>
        <w:p w14:paraId="1F61A516" w14:textId="77777777" w:rsidR="007F4C65" w:rsidRDefault="005852A3">
          <w:r>
            <w:rPr>
              <w:noProof/>
            </w:rPr>
            <w:t xml:space="preserve">   </w:t>
          </w:r>
          <w:r w:rsidRPr="00E9158A">
            <w:t xml:space="preserve"> </w:t>
          </w:r>
        </w:p>
      </w:tc>
      <w:tc>
        <w:tcPr>
          <w:tcW w:w="3960" w:type="dxa"/>
        </w:tcPr>
        <w:p w14:paraId="0006FD0F" w14:textId="77777777" w:rsidR="007F4C65" w:rsidRPr="00E9158A" w:rsidRDefault="005852A3" w:rsidP="00BC6DD8">
          <w:pPr>
            <w:tabs>
              <w:tab w:val="left" w:pos="719"/>
            </w:tabs>
            <w:spacing w:line="360" w:lineRule="auto"/>
            <w:rPr>
              <w:sz w:val="16"/>
              <w:szCs w:val="16"/>
            </w:rPr>
          </w:pPr>
          <w:r w:rsidRPr="00E9158A">
            <w:rPr>
              <w:sz w:val="16"/>
              <w:szCs w:val="16"/>
            </w:rPr>
            <w:t>Telefax:</w:t>
          </w:r>
          <w:r w:rsidRPr="00E9158A">
            <w:rPr>
              <w:sz w:val="16"/>
              <w:szCs w:val="16"/>
            </w:rPr>
            <w:tab/>
            <w:t>(0344) 637 299</w:t>
          </w:r>
        </w:p>
        <w:p w14:paraId="2726E78A" w14:textId="77777777" w:rsidR="007F4C65" w:rsidRPr="00E9158A" w:rsidRDefault="005852A3" w:rsidP="00BC6DD8">
          <w:pPr>
            <w:tabs>
              <w:tab w:val="left" w:pos="719"/>
            </w:tabs>
            <w:spacing w:line="360" w:lineRule="auto"/>
            <w:rPr>
              <w:sz w:val="16"/>
              <w:szCs w:val="16"/>
            </w:rPr>
          </w:pPr>
          <w:r w:rsidRPr="00E9158A">
            <w:rPr>
              <w:sz w:val="16"/>
              <w:szCs w:val="16"/>
            </w:rPr>
            <w:t>E-mail:</w:t>
          </w:r>
          <w:r w:rsidRPr="00E9158A">
            <w:rPr>
              <w:sz w:val="16"/>
              <w:szCs w:val="16"/>
            </w:rPr>
            <w:tab/>
            <w:t xml:space="preserve">gemeente@tiel.nl </w:t>
          </w:r>
        </w:p>
        <w:p w14:paraId="1A8D70BA" w14:textId="77777777" w:rsidR="007F4C65" w:rsidRPr="00E9158A" w:rsidRDefault="005852A3" w:rsidP="00BC6DD8">
          <w:pPr>
            <w:tabs>
              <w:tab w:val="left" w:pos="719"/>
            </w:tabs>
            <w:spacing w:line="360" w:lineRule="auto"/>
            <w:rPr>
              <w:sz w:val="16"/>
              <w:szCs w:val="16"/>
              <w:lang w:val="en-US"/>
            </w:rPr>
          </w:pPr>
          <w:r w:rsidRPr="00E9158A">
            <w:rPr>
              <w:sz w:val="16"/>
              <w:szCs w:val="16"/>
              <w:lang w:val="en-US"/>
            </w:rPr>
            <w:t>Internet:</w:t>
          </w:r>
          <w:r w:rsidRPr="00E9158A">
            <w:rPr>
              <w:sz w:val="16"/>
              <w:szCs w:val="16"/>
              <w:lang w:val="en-US"/>
            </w:rPr>
            <w:tab/>
            <w:t>www.tiel.nl</w:t>
          </w:r>
        </w:p>
        <w:p w14:paraId="3F2A5DA5" w14:textId="77777777" w:rsidR="007F4C65" w:rsidRPr="00E9158A" w:rsidRDefault="007F4C65" w:rsidP="00BC6DD8">
          <w:pPr>
            <w:tabs>
              <w:tab w:val="left" w:pos="719"/>
            </w:tabs>
            <w:spacing w:line="360" w:lineRule="auto"/>
            <w:rPr>
              <w:sz w:val="16"/>
              <w:szCs w:val="16"/>
              <w:lang w:val="en-US"/>
            </w:rPr>
          </w:pPr>
        </w:p>
        <w:p w14:paraId="5757671F" w14:textId="4CE67D88" w:rsidR="007F4C65" w:rsidRPr="00E9158A" w:rsidRDefault="007F4C65" w:rsidP="00365704">
          <w:pPr>
            <w:tabs>
              <w:tab w:val="left" w:pos="719"/>
            </w:tabs>
            <w:spacing w:line="360" w:lineRule="auto"/>
            <w:rPr>
              <w:sz w:val="16"/>
              <w:szCs w:val="16"/>
              <w:lang w:val="en-US"/>
            </w:rPr>
          </w:pPr>
        </w:p>
      </w:tc>
    </w:tr>
    <w:tr w:rsidR="002C77F9" w14:paraId="7864E0BE" w14:textId="77777777">
      <w:trPr>
        <w:gridBefore w:val="1"/>
        <w:wBefore w:w="1572" w:type="dxa"/>
        <w:trHeight w:hRule="exact" w:val="606"/>
      </w:trPr>
      <w:tc>
        <w:tcPr>
          <w:tcW w:w="5610" w:type="dxa"/>
        </w:tcPr>
        <w:p w14:paraId="7C1922D0" w14:textId="77777777" w:rsidR="007F4C65" w:rsidRPr="00E9158A" w:rsidRDefault="007F4C65" w:rsidP="00BC6DD8">
          <w:pPr>
            <w:rPr>
              <w:lang w:val="en-US"/>
            </w:rPr>
          </w:pPr>
        </w:p>
      </w:tc>
      <w:tc>
        <w:tcPr>
          <w:tcW w:w="3960" w:type="dxa"/>
        </w:tcPr>
        <w:p w14:paraId="6B59877C" w14:textId="77777777" w:rsidR="007F4C65" w:rsidRPr="00E9158A" w:rsidRDefault="007F4C65" w:rsidP="00BC6DD8">
          <w:pPr>
            <w:rPr>
              <w:lang w:val="en-US"/>
            </w:rPr>
          </w:pPr>
        </w:p>
        <w:p w14:paraId="64AF9F0C" w14:textId="77777777" w:rsidR="007F4C65" w:rsidRPr="00E9158A" w:rsidRDefault="007F4C65" w:rsidP="00BC6DD8">
          <w:pPr>
            <w:rPr>
              <w:lang w:val="en-US"/>
            </w:rPr>
          </w:pPr>
        </w:p>
        <w:p w14:paraId="40758B11" w14:textId="77777777" w:rsidR="007F4C65" w:rsidRPr="00E9158A" w:rsidRDefault="007F4C65" w:rsidP="00BC6DD8">
          <w:pPr>
            <w:rPr>
              <w:lang w:val="en-US"/>
            </w:rPr>
          </w:pPr>
        </w:p>
      </w:tc>
    </w:tr>
    <w:tr w:rsidR="0073348F" w14:paraId="3961D8FE" w14:textId="77777777">
      <w:trPr>
        <w:gridAfter w:val="2"/>
        <w:wAfter w:w="9570" w:type="dxa"/>
      </w:trPr>
      <w:tc>
        <w:tcPr>
          <w:tcW w:w="1572" w:type="dxa"/>
        </w:tcPr>
        <w:p w14:paraId="510EC37F" w14:textId="77777777" w:rsidR="0073348F" w:rsidRPr="00E9158A" w:rsidRDefault="0073348F" w:rsidP="00BC6DD8">
          <w:pPr>
            <w:spacing w:before="60"/>
            <w:ind w:right="110"/>
            <w:jc w:val="right"/>
            <w:rPr>
              <w:sz w:val="16"/>
              <w:szCs w:val="16"/>
            </w:rPr>
          </w:pPr>
          <w:r w:rsidRPr="00E9158A">
            <w:rPr>
              <w:sz w:val="16"/>
              <w:szCs w:val="16"/>
            </w:rPr>
            <w:t xml:space="preserve">Tiel </w:t>
          </w:r>
          <w:r w:rsidRPr="00E9158A">
            <w:rPr>
              <w:b/>
              <w:bCs/>
              <w:sz w:val="16"/>
              <w:szCs w:val="16"/>
            </w:rPr>
            <w:t>:</w:t>
          </w:r>
        </w:p>
      </w:tc>
    </w:tr>
    <w:tr w:rsidR="0073348F" w14:paraId="31D6B45A" w14:textId="77777777">
      <w:trPr>
        <w:gridAfter w:val="2"/>
        <w:wAfter w:w="9570" w:type="dxa"/>
      </w:trPr>
      <w:tc>
        <w:tcPr>
          <w:tcW w:w="1572" w:type="dxa"/>
        </w:tcPr>
        <w:p w14:paraId="79CE58D1" w14:textId="31F4D386" w:rsidR="0073348F" w:rsidRPr="00E9158A" w:rsidRDefault="0073348F" w:rsidP="00BC6DD8">
          <w:pPr>
            <w:spacing w:before="60"/>
            <w:ind w:right="110"/>
            <w:jc w:val="right"/>
            <w:rPr>
              <w:sz w:val="16"/>
              <w:szCs w:val="16"/>
            </w:rPr>
          </w:pPr>
          <w:r w:rsidRPr="00E9158A">
            <w:rPr>
              <w:sz w:val="16"/>
              <w:szCs w:val="16"/>
            </w:rPr>
            <w:t xml:space="preserve">Kenmerk </w:t>
          </w:r>
          <w:r w:rsidRPr="00E9158A">
            <w:rPr>
              <w:b/>
              <w:bCs/>
              <w:sz w:val="16"/>
              <w:szCs w:val="16"/>
            </w:rPr>
            <w:t>:</w:t>
          </w:r>
        </w:p>
      </w:tc>
    </w:tr>
    <w:tr w:rsidR="002C77F9" w14:paraId="2186B7C1" w14:textId="77777777">
      <w:tc>
        <w:tcPr>
          <w:tcW w:w="1572" w:type="dxa"/>
        </w:tcPr>
        <w:p w14:paraId="14D1B4D8" w14:textId="77777777" w:rsidR="007F4C65" w:rsidRPr="00E9158A" w:rsidRDefault="005852A3" w:rsidP="00BC6DD8">
          <w:pPr>
            <w:spacing w:before="60"/>
            <w:ind w:right="110"/>
            <w:jc w:val="right"/>
            <w:rPr>
              <w:b/>
              <w:bCs/>
              <w:sz w:val="16"/>
              <w:szCs w:val="16"/>
            </w:rPr>
          </w:pPr>
          <w:r w:rsidRPr="00E9158A">
            <w:rPr>
              <w:sz w:val="16"/>
              <w:szCs w:val="16"/>
            </w:rPr>
            <w:t xml:space="preserve">Onderwerp </w:t>
          </w:r>
          <w:r w:rsidRPr="00E9158A">
            <w:rPr>
              <w:b/>
              <w:bCs/>
              <w:sz w:val="16"/>
              <w:szCs w:val="16"/>
            </w:rPr>
            <w:t>:</w:t>
          </w:r>
        </w:p>
      </w:tc>
      <w:tc>
        <w:tcPr>
          <w:tcW w:w="9570" w:type="dxa"/>
          <w:gridSpan w:val="2"/>
        </w:tcPr>
        <w:p w14:paraId="4C137545" w14:textId="03BB1171" w:rsidR="007F4C65" w:rsidRPr="00E9158A" w:rsidRDefault="008C760C" w:rsidP="001C6432">
          <w:r>
            <w:rPr>
              <w:noProof/>
            </w:rPr>
            <w:t>Zienswijze wijziging gemeenschappelijke regeling</w:t>
          </w:r>
        </w:p>
      </w:tc>
    </w:tr>
  </w:tbl>
  <w:p w14:paraId="484418DE" w14:textId="77777777" w:rsidR="007F4C65" w:rsidRPr="00E9158A" w:rsidRDefault="007F4C65" w:rsidP="00BC6DD8">
    <w:pPr>
      <w:pStyle w:val="Koptekst"/>
      <w:rPr>
        <w:noProof/>
      </w:rPr>
    </w:pPr>
  </w:p>
  <w:p w14:paraId="777AC780" w14:textId="77777777" w:rsidR="007F4C65" w:rsidRPr="00E9158A" w:rsidRDefault="007F4C65" w:rsidP="00BC6DD8">
    <w:pPr>
      <w:pStyle w:val="Koptekst"/>
      <w:rPr>
        <w:noProof/>
      </w:rPr>
    </w:pPr>
  </w:p>
  <w:p w14:paraId="26E1840A" w14:textId="77777777" w:rsidR="007F4C65" w:rsidRPr="00E9158A" w:rsidRDefault="007F4C65" w:rsidP="00BC6DD8">
    <w:pPr>
      <w:pStyle w:val="Koptek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3712"/>
    <w:multiLevelType w:val="hybridMultilevel"/>
    <w:tmpl w:val="75FE36B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537D8F"/>
    <w:multiLevelType w:val="hybridMultilevel"/>
    <w:tmpl w:val="991420F4"/>
    <w:lvl w:ilvl="0" w:tplc="336E724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4406405">
    <w:abstractNumId w:val="1"/>
  </w:num>
  <w:num w:numId="2" w16cid:durableId="41054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MARTDOCUMENTSID" w:val="+Root"/>
  </w:docVars>
  <w:rsids>
    <w:rsidRoot w:val="002C77F9"/>
    <w:rsid w:val="00030419"/>
    <w:rsid w:val="00055357"/>
    <w:rsid w:val="0007078E"/>
    <w:rsid w:val="000E6F44"/>
    <w:rsid w:val="0012583D"/>
    <w:rsid w:val="001710F1"/>
    <w:rsid w:val="002C77F9"/>
    <w:rsid w:val="0052233E"/>
    <w:rsid w:val="005852A3"/>
    <w:rsid w:val="00621941"/>
    <w:rsid w:val="006456F8"/>
    <w:rsid w:val="006F21E6"/>
    <w:rsid w:val="0073348F"/>
    <w:rsid w:val="007B7EE9"/>
    <w:rsid w:val="007F4C65"/>
    <w:rsid w:val="008C760C"/>
    <w:rsid w:val="0093097F"/>
    <w:rsid w:val="009C7D88"/>
    <w:rsid w:val="00A416B2"/>
    <w:rsid w:val="00BE5D80"/>
    <w:rsid w:val="00D07B4C"/>
    <w:rsid w:val="00D27207"/>
    <w:rsid w:val="00E969CF"/>
    <w:rsid w:val="00EB3545"/>
    <w:rsid w:val="00F03CEE"/>
    <w:rsid w:val="00F45173"/>
    <w:rsid w:val="00FC7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0475BFD"/>
  <w15:docId w15:val="{44DADEF4-4584-4259-967D-ADD25A87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6038"/>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D6038"/>
    <w:pPr>
      <w:tabs>
        <w:tab w:val="center" w:pos="4536"/>
        <w:tab w:val="right" w:pos="9072"/>
      </w:tabs>
    </w:pPr>
  </w:style>
  <w:style w:type="paragraph" w:styleId="Voettekst">
    <w:name w:val="footer"/>
    <w:basedOn w:val="Standaard"/>
    <w:rsid w:val="008D6038"/>
    <w:pPr>
      <w:tabs>
        <w:tab w:val="center" w:pos="4536"/>
        <w:tab w:val="right" w:pos="9072"/>
      </w:tabs>
    </w:pPr>
  </w:style>
  <w:style w:type="table" w:styleId="Tabelraster">
    <w:name w:val="Table Grid"/>
    <w:basedOn w:val="Standaardtabel"/>
    <w:uiPriority w:val="59"/>
    <w:rsid w:val="008D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2583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Tiel</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Vree, Geja</dc:creator>
  <cp:lastModifiedBy>Marina Rietberg</cp:lastModifiedBy>
  <cp:revision>2</cp:revision>
  <dcterms:created xsi:type="dcterms:W3CDTF">2024-02-06T13:28:00Z</dcterms:created>
  <dcterms:modified xsi:type="dcterms:W3CDTF">2024-02-06T13:28:00Z</dcterms:modified>
</cp:coreProperties>
</file>